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97F72" w14:textId="3889C919" w:rsidR="00EA195F" w:rsidRPr="00EA195F" w:rsidRDefault="00EA195F" w:rsidP="00EA195F">
      <w:pPr>
        <w:jc w:val="center"/>
        <w:rPr>
          <w:rFonts w:asciiTheme="minorHAnsi" w:hAnsiTheme="minorHAnsi" w:cstheme="minorHAnsi"/>
          <w:bCs/>
          <w:iCs/>
          <w:sz w:val="22"/>
        </w:rPr>
      </w:pPr>
      <w:r w:rsidRPr="00EA195F">
        <w:rPr>
          <w:rFonts w:asciiTheme="minorHAnsi" w:hAnsiTheme="minorHAnsi" w:cstheme="minorHAnsi"/>
          <w:bCs/>
          <w:iCs/>
          <w:sz w:val="22"/>
        </w:rPr>
        <w:t xml:space="preserve">Según el tercer informe </w:t>
      </w:r>
      <w:r>
        <w:rPr>
          <w:rFonts w:asciiTheme="minorHAnsi" w:hAnsiTheme="minorHAnsi" w:cstheme="minorHAnsi"/>
          <w:bCs/>
          <w:iCs/>
          <w:sz w:val="22"/>
        </w:rPr>
        <w:t>‘</w:t>
      </w:r>
      <w:r w:rsidRPr="00EA195F">
        <w:rPr>
          <w:rFonts w:asciiTheme="minorHAnsi" w:hAnsiTheme="minorHAnsi" w:cstheme="minorHAnsi"/>
          <w:bCs/>
          <w:iCs/>
          <w:sz w:val="22"/>
        </w:rPr>
        <w:t>Carrera y talento sénior</w:t>
      </w:r>
      <w:r w:rsidR="00A308B9">
        <w:rPr>
          <w:rFonts w:asciiTheme="minorHAnsi" w:hAnsiTheme="minorHAnsi" w:cstheme="minorHAnsi"/>
          <w:bCs/>
          <w:iCs/>
          <w:sz w:val="22"/>
        </w:rPr>
        <w:t>’</w:t>
      </w:r>
      <w:r w:rsidRPr="00EA195F">
        <w:rPr>
          <w:rFonts w:asciiTheme="minorHAnsi" w:hAnsiTheme="minorHAnsi" w:cstheme="minorHAnsi"/>
          <w:bCs/>
          <w:iCs/>
          <w:sz w:val="22"/>
        </w:rPr>
        <w:t xml:space="preserve"> de Compromiso y Transparencia</w:t>
      </w:r>
    </w:p>
    <w:p w14:paraId="3F2313F3" w14:textId="66AA1335" w:rsidR="00EE24FF" w:rsidRPr="00582AB1" w:rsidRDefault="00EE24FF" w:rsidP="00582AB1">
      <w:pPr>
        <w:jc w:val="center"/>
        <w:rPr>
          <w:rFonts w:asciiTheme="minorHAnsi" w:hAnsiTheme="minorHAnsi" w:cstheme="minorHAnsi"/>
          <w:b/>
          <w:iCs/>
          <w:sz w:val="30"/>
          <w:szCs w:val="30"/>
        </w:rPr>
      </w:pPr>
      <w:r w:rsidRPr="00A308B9">
        <w:rPr>
          <w:rFonts w:asciiTheme="minorHAnsi" w:hAnsiTheme="minorHAnsi" w:cstheme="minorHAnsi"/>
          <w:b/>
          <w:iCs/>
          <w:sz w:val="30"/>
          <w:szCs w:val="30"/>
        </w:rPr>
        <w:t>Aumenta la información sobre el talento s</w:t>
      </w:r>
      <w:r w:rsidR="009026CF" w:rsidRPr="00A308B9">
        <w:rPr>
          <w:rFonts w:asciiTheme="minorHAnsi" w:hAnsiTheme="minorHAnsi" w:cstheme="minorHAnsi"/>
          <w:b/>
          <w:iCs/>
          <w:sz w:val="30"/>
          <w:szCs w:val="30"/>
        </w:rPr>
        <w:t>é</w:t>
      </w:r>
      <w:r w:rsidRPr="00A308B9">
        <w:rPr>
          <w:rFonts w:asciiTheme="minorHAnsi" w:hAnsiTheme="minorHAnsi" w:cstheme="minorHAnsi"/>
          <w:b/>
          <w:iCs/>
          <w:sz w:val="30"/>
          <w:szCs w:val="30"/>
        </w:rPr>
        <w:t xml:space="preserve">nior en las empresas del IBEX 35, pero se </w:t>
      </w:r>
      <w:r w:rsidR="005603E8">
        <w:rPr>
          <w:rFonts w:asciiTheme="minorHAnsi" w:hAnsiTheme="minorHAnsi" w:cstheme="minorHAnsi"/>
          <w:b/>
          <w:iCs/>
          <w:sz w:val="30"/>
          <w:szCs w:val="30"/>
        </w:rPr>
        <w:t>hace necesaria</w:t>
      </w:r>
      <w:r w:rsidRPr="00A308B9">
        <w:rPr>
          <w:rFonts w:asciiTheme="minorHAnsi" w:hAnsiTheme="minorHAnsi" w:cstheme="minorHAnsi"/>
          <w:b/>
          <w:iCs/>
          <w:sz w:val="30"/>
          <w:szCs w:val="30"/>
        </w:rPr>
        <w:t xml:space="preserve"> con urgencia una </w:t>
      </w:r>
      <w:r w:rsidR="009026CF" w:rsidRPr="00A308B9">
        <w:rPr>
          <w:rFonts w:asciiTheme="minorHAnsi" w:hAnsiTheme="minorHAnsi" w:cstheme="minorHAnsi"/>
          <w:b/>
          <w:iCs/>
          <w:sz w:val="30"/>
          <w:szCs w:val="30"/>
        </w:rPr>
        <w:t>l</w:t>
      </w:r>
      <w:r w:rsidRPr="00A308B9">
        <w:rPr>
          <w:rFonts w:asciiTheme="minorHAnsi" w:hAnsiTheme="minorHAnsi" w:cstheme="minorHAnsi"/>
          <w:b/>
          <w:iCs/>
          <w:sz w:val="30"/>
          <w:szCs w:val="30"/>
        </w:rPr>
        <w:t>ey que proteja contra la discriminación por edad</w:t>
      </w:r>
    </w:p>
    <w:p w14:paraId="3FC12918" w14:textId="2D1F1C41" w:rsidR="00AC3630" w:rsidRDefault="00C74FBA" w:rsidP="00EE24FF">
      <w:pPr>
        <w:pStyle w:val="Prrafodelista"/>
        <w:numPr>
          <w:ilvl w:val="0"/>
          <w:numId w:val="1"/>
        </w:numPr>
        <w:jc w:val="both"/>
        <w:rPr>
          <w:rFonts w:asciiTheme="minorHAnsi" w:hAnsiTheme="minorHAnsi" w:cstheme="minorHAnsi"/>
          <w:i/>
          <w:sz w:val="22"/>
        </w:rPr>
      </w:pPr>
      <w:r w:rsidRPr="009026CF">
        <w:rPr>
          <w:rFonts w:asciiTheme="minorHAnsi" w:hAnsiTheme="minorHAnsi" w:cstheme="minorHAnsi"/>
          <w:i/>
          <w:sz w:val="22"/>
        </w:rPr>
        <w:t xml:space="preserve">Caixabank, las </w:t>
      </w:r>
      <w:r w:rsidR="00652D23">
        <w:rPr>
          <w:rFonts w:asciiTheme="minorHAnsi" w:hAnsiTheme="minorHAnsi" w:cstheme="minorHAnsi"/>
          <w:i/>
          <w:sz w:val="22"/>
        </w:rPr>
        <w:t>‘utilities’</w:t>
      </w:r>
      <w:r w:rsidRPr="009026CF">
        <w:rPr>
          <w:rFonts w:asciiTheme="minorHAnsi" w:hAnsiTheme="minorHAnsi" w:cstheme="minorHAnsi"/>
          <w:i/>
          <w:sz w:val="22"/>
        </w:rPr>
        <w:t xml:space="preserve"> (Red Eléctrica, Iberdrola, Naturgy y Endesa)</w:t>
      </w:r>
      <w:r w:rsidR="00A308B9">
        <w:rPr>
          <w:rFonts w:asciiTheme="minorHAnsi" w:hAnsiTheme="minorHAnsi" w:cstheme="minorHAnsi"/>
          <w:i/>
          <w:sz w:val="22"/>
        </w:rPr>
        <w:t>,</w:t>
      </w:r>
      <w:r w:rsidRPr="009026CF">
        <w:rPr>
          <w:rFonts w:asciiTheme="minorHAnsi" w:hAnsiTheme="minorHAnsi" w:cstheme="minorHAnsi"/>
          <w:i/>
          <w:sz w:val="22"/>
        </w:rPr>
        <w:t xml:space="preserve"> Mapfre</w:t>
      </w:r>
      <w:r w:rsidR="00A308B9">
        <w:rPr>
          <w:rFonts w:asciiTheme="minorHAnsi" w:hAnsiTheme="minorHAnsi" w:cstheme="minorHAnsi"/>
          <w:i/>
          <w:sz w:val="22"/>
        </w:rPr>
        <w:t xml:space="preserve"> y Telefónica</w:t>
      </w:r>
      <w:r w:rsidR="009026CF">
        <w:rPr>
          <w:rFonts w:asciiTheme="minorHAnsi" w:hAnsiTheme="minorHAnsi" w:cstheme="minorHAnsi"/>
          <w:i/>
          <w:sz w:val="22"/>
        </w:rPr>
        <w:t>,</w:t>
      </w:r>
      <w:r w:rsidRPr="009026CF">
        <w:rPr>
          <w:rFonts w:asciiTheme="minorHAnsi" w:hAnsiTheme="minorHAnsi" w:cstheme="minorHAnsi"/>
          <w:i/>
          <w:sz w:val="22"/>
        </w:rPr>
        <w:t xml:space="preserve"> las empresas más transpare</w:t>
      </w:r>
      <w:r w:rsidR="00EE24FF" w:rsidRPr="009026CF">
        <w:rPr>
          <w:rFonts w:asciiTheme="minorHAnsi" w:hAnsiTheme="minorHAnsi" w:cstheme="minorHAnsi"/>
          <w:i/>
          <w:sz w:val="22"/>
        </w:rPr>
        <w:t xml:space="preserve">ntes en relación </w:t>
      </w:r>
      <w:r w:rsidR="005603E8">
        <w:rPr>
          <w:rFonts w:asciiTheme="minorHAnsi" w:hAnsiTheme="minorHAnsi" w:cstheme="minorHAnsi"/>
          <w:i/>
          <w:sz w:val="22"/>
        </w:rPr>
        <w:t>a</w:t>
      </w:r>
      <w:r w:rsidR="00EE24FF" w:rsidRPr="009026CF">
        <w:rPr>
          <w:rFonts w:asciiTheme="minorHAnsi" w:hAnsiTheme="minorHAnsi" w:cstheme="minorHAnsi"/>
          <w:i/>
          <w:sz w:val="22"/>
        </w:rPr>
        <w:t xml:space="preserve">l </w:t>
      </w:r>
      <w:r w:rsidRPr="009026CF">
        <w:rPr>
          <w:rFonts w:asciiTheme="minorHAnsi" w:hAnsiTheme="minorHAnsi" w:cstheme="minorHAnsi"/>
          <w:i/>
          <w:sz w:val="22"/>
        </w:rPr>
        <w:t>colectivo de empleados s</w:t>
      </w:r>
      <w:r w:rsidR="009026CF">
        <w:rPr>
          <w:rFonts w:asciiTheme="minorHAnsi" w:hAnsiTheme="minorHAnsi" w:cstheme="minorHAnsi"/>
          <w:i/>
          <w:sz w:val="22"/>
        </w:rPr>
        <w:t>é</w:t>
      </w:r>
      <w:r w:rsidRPr="009026CF">
        <w:rPr>
          <w:rFonts w:asciiTheme="minorHAnsi" w:hAnsiTheme="minorHAnsi" w:cstheme="minorHAnsi"/>
          <w:i/>
          <w:sz w:val="22"/>
        </w:rPr>
        <w:t>nior</w:t>
      </w:r>
      <w:r w:rsidR="009026CF">
        <w:rPr>
          <w:rFonts w:asciiTheme="minorHAnsi" w:hAnsiTheme="minorHAnsi" w:cstheme="minorHAnsi"/>
          <w:i/>
          <w:sz w:val="22"/>
        </w:rPr>
        <w:t>.</w:t>
      </w:r>
    </w:p>
    <w:p w14:paraId="2CDF5A2C" w14:textId="77777777" w:rsidR="00EA195F" w:rsidRPr="009026CF" w:rsidRDefault="00EA195F" w:rsidP="00EA195F">
      <w:pPr>
        <w:pStyle w:val="Prrafodelista"/>
        <w:jc w:val="both"/>
        <w:rPr>
          <w:rFonts w:asciiTheme="minorHAnsi" w:hAnsiTheme="minorHAnsi" w:cstheme="minorHAnsi"/>
          <w:i/>
          <w:sz w:val="22"/>
        </w:rPr>
      </w:pPr>
    </w:p>
    <w:p w14:paraId="64BE05E6" w14:textId="77777777" w:rsidR="00EA195F" w:rsidRDefault="00C74FBA" w:rsidP="00EE24FF">
      <w:pPr>
        <w:pStyle w:val="Prrafodelista"/>
        <w:numPr>
          <w:ilvl w:val="0"/>
          <w:numId w:val="1"/>
        </w:numPr>
        <w:jc w:val="both"/>
        <w:rPr>
          <w:rFonts w:asciiTheme="minorHAnsi" w:hAnsiTheme="minorHAnsi" w:cstheme="minorHAnsi"/>
          <w:i/>
          <w:sz w:val="22"/>
        </w:rPr>
      </w:pPr>
      <w:r w:rsidRPr="00EA195F">
        <w:rPr>
          <w:rFonts w:asciiTheme="minorHAnsi" w:hAnsiTheme="minorHAnsi" w:cstheme="minorHAnsi"/>
          <w:i/>
          <w:sz w:val="22"/>
        </w:rPr>
        <w:t>Aumenta la información sobre los empleados s</w:t>
      </w:r>
      <w:r w:rsidR="009026CF" w:rsidRPr="00EA195F">
        <w:rPr>
          <w:rFonts w:asciiTheme="minorHAnsi" w:hAnsiTheme="minorHAnsi" w:cstheme="minorHAnsi"/>
          <w:i/>
          <w:sz w:val="22"/>
        </w:rPr>
        <w:t>é</w:t>
      </w:r>
      <w:r w:rsidRPr="00EA195F">
        <w:rPr>
          <w:rFonts w:asciiTheme="minorHAnsi" w:hAnsiTheme="minorHAnsi" w:cstheme="minorHAnsi"/>
          <w:i/>
          <w:sz w:val="22"/>
        </w:rPr>
        <w:t xml:space="preserve">nior tras la publicación de la </w:t>
      </w:r>
      <w:r w:rsidR="009026CF" w:rsidRPr="00EA195F">
        <w:rPr>
          <w:rFonts w:asciiTheme="minorHAnsi" w:hAnsiTheme="minorHAnsi" w:cstheme="minorHAnsi"/>
          <w:i/>
          <w:sz w:val="22"/>
        </w:rPr>
        <w:t>L</w:t>
      </w:r>
      <w:r w:rsidRPr="00EA195F">
        <w:rPr>
          <w:rFonts w:asciiTheme="minorHAnsi" w:hAnsiTheme="minorHAnsi" w:cstheme="minorHAnsi"/>
          <w:i/>
          <w:sz w:val="22"/>
        </w:rPr>
        <w:t>ey sobre información no financiera y diversidad</w:t>
      </w:r>
      <w:r w:rsidR="009026CF" w:rsidRPr="00EA195F">
        <w:rPr>
          <w:rFonts w:asciiTheme="minorHAnsi" w:hAnsiTheme="minorHAnsi" w:cstheme="minorHAnsi"/>
          <w:i/>
          <w:sz w:val="22"/>
        </w:rPr>
        <w:t>.</w:t>
      </w:r>
    </w:p>
    <w:p w14:paraId="68F5241D" w14:textId="77777777" w:rsidR="00EA195F" w:rsidRPr="00EA195F" w:rsidRDefault="00EA195F" w:rsidP="00EA195F">
      <w:pPr>
        <w:pStyle w:val="Prrafodelista"/>
        <w:rPr>
          <w:rFonts w:asciiTheme="minorHAnsi" w:hAnsiTheme="minorHAnsi" w:cstheme="minorHAnsi"/>
          <w:i/>
          <w:sz w:val="22"/>
        </w:rPr>
      </w:pPr>
    </w:p>
    <w:p w14:paraId="17500DDD" w14:textId="4765F071" w:rsidR="00C74FBA" w:rsidRPr="009508C0" w:rsidRDefault="00C74FBA" w:rsidP="00C74FBA">
      <w:pPr>
        <w:pStyle w:val="Prrafodelista"/>
        <w:numPr>
          <w:ilvl w:val="0"/>
          <w:numId w:val="1"/>
        </w:numPr>
        <w:jc w:val="both"/>
        <w:rPr>
          <w:rFonts w:asciiTheme="minorHAnsi" w:hAnsiTheme="minorHAnsi" w:cstheme="minorHAnsi"/>
          <w:i/>
          <w:sz w:val="22"/>
        </w:rPr>
      </w:pPr>
      <w:r w:rsidRPr="00EA195F">
        <w:rPr>
          <w:rFonts w:asciiTheme="minorHAnsi" w:hAnsiTheme="minorHAnsi" w:cstheme="minorHAnsi"/>
          <w:i/>
          <w:sz w:val="22"/>
        </w:rPr>
        <w:t>El informe recomienda</w:t>
      </w:r>
      <w:r w:rsidR="00EE24FF" w:rsidRPr="00EA195F">
        <w:rPr>
          <w:rFonts w:asciiTheme="minorHAnsi" w:hAnsiTheme="minorHAnsi" w:cstheme="minorHAnsi"/>
          <w:i/>
          <w:sz w:val="22"/>
        </w:rPr>
        <w:t xml:space="preserve"> aprobar una ley</w:t>
      </w:r>
      <w:r w:rsidRPr="00EA195F">
        <w:rPr>
          <w:rFonts w:asciiTheme="minorHAnsi" w:hAnsiTheme="minorHAnsi" w:cstheme="minorHAnsi"/>
          <w:i/>
          <w:sz w:val="22"/>
        </w:rPr>
        <w:t xml:space="preserve"> que termine con las prácticas de discriminación encubiertas y garantice los derechos del colectivo sénior.</w:t>
      </w:r>
    </w:p>
    <w:p w14:paraId="70D08FD5" w14:textId="66DFE0FB" w:rsidR="00582AB1" w:rsidRPr="00582AB1" w:rsidRDefault="00EA195F" w:rsidP="00582AB1">
      <w:pPr>
        <w:jc w:val="both"/>
        <w:rPr>
          <w:rFonts w:asciiTheme="minorHAnsi" w:hAnsiTheme="minorHAnsi" w:cstheme="minorHAnsi"/>
          <w:iCs/>
          <w:sz w:val="22"/>
        </w:rPr>
      </w:pPr>
      <w:r w:rsidRPr="00EA195F">
        <w:rPr>
          <w:rFonts w:asciiTheme="minorHAnsi" w:hAnsiTheme="minorHAnsi" w:cstheme="minorHAnsi"/>
          <w:i/>
          <w:sz w:val="22"/>
        </w:rPr>
        <w:t>Madrid, 1</w:t>
      </w:r>
      <w:r w:rsidR="009F62EC">
        <w:rPr>
          <w:rFonts w:asciiTheme="minorHAnsi" w:hAnsiTheme="minorHAnsi" w:cstheme="minorHAnsi"/>
          <w:i/>
          <w:sz w:val="22"/>
        </w:rPr>
        <w:t>1</w:t>
      </w:r>
      <w:r w:rsidRPr="00EA195F">
        <w:rPr>
          <w:rFonts w:asciiTheme="minorHAnsi" w:hAnsiTheme="minorHAnsi" w:cstheme="minorHAnsi"/>
          <w:i/>
          <w:sz w:val="22"/>
        </w:rPr>
        <w:t xml:space="preserve"> de marzo de 2021.</w:t>
      </w:r>
      <w:r>
        <w:rPr>
          <w:rFonts w:asciiTheme="minorHAnsi" w:hAnsiTheme="minorHAnsi" w:cstheme="minorHAnsi"/>
          <w:iCs/>
          <w:sz w:val="22"/>
        </w:rPr>
        <w:t xml:space="preserve"> </w:t>
      </w:r>
      <w:r w:rsidR="00582AB1" w:rsidRPr="00582AB1">
        <w:rPr>
          <w:rFonts w:asciiTheme="minorHAnsi" w:hAnsiTheme="minorHAnsi" w:cstheme="minorHAnsi"/>
          <w:iCs/>
          <w:sz w:val="22"/>
        </w:rPr>
        <w:t xml:space="preserve">El informe </w:t>
      </w:r>
      <w:hyperlink r:id="rId7" w:history="1">
        <w:r w:rsidR="00582AB1" w:rsidRPr="00582AB1">
          <w:rPr>
            <w:rStyle w:val="Hipervnculo"/>
            <w:rFonts w:asciiTheme="minorHAnsi" w:hAnsiTheme="minorHAnsi" w:cstheme="minorHAnsi"/>
            <w:i/>
            <w:sz w:val="22"/>
          </w:rPr>
          <w:t>Carrera y talento sénior 2020,</w:t>
        </w:r>
      </w:hyperlink>
      <w:r w:rsidR="00582AB1" w:rsidRPr="00582AB1">
        <w:rPr>
          <w:rFonts w:asciiTheme="minorHAnsi" w:hAnsiTheme="minorHAnsi" w:cstheme="minorHAnsi"/>
          <w:iCs/>
          <w:sz w:val="22"/>
        </w:rPr>
        <w:t xml:space="preserve"> elaborado por la </w:t>
      </w:r>
      <w:hyperlink r:id="rId8" w:history="1">
        <w:r w:rsidR="00582AB1" w:rsidRPr="00582AB1">
          <w:rPr>
            <w:rStyle w:val="Hipervnculo"/>
            <w:rFonts w:asciiTheme="minorHAnsi" w:hAnsiTheme="minorHAnsi" w:cstheme="minorHAnsi"/>
            <w:iCs/>
            <w:sz w:val="22"/>
          </w:rPr>
          <w:t>Fundación Compromiso y Transparencia</w:t>
        </w:r>
      </w:hyperlink>
      <w:r w:rsidR="00582AB1" w:rsidRPr="00582AB1">
        <w:rPr>
          <w:rFonts w:asciiTheme="minorHAnsi" w:hAnsiTheme="minorHAnsi" w:cstheme="minorHAnsi"/>
          <w:iCs/>
          <w:sz w:val="22"/>
        </w:rPr>
        <w:t xml:space="preserve"> en colaboración con Fundación Knowdle e Itwillbe.org, que examina por tercer año consecutivo la </w:t>
      </w:r>
      <w:r w:rsidR="00582AB1" w:rsidRPr="00582AB1">
        <w:rPr>
          <w:rFonts w:asciiTheme="minorHAnsi" w:hAnsiTheme="minorHAnsi" w:cstheme="minorHAnsi"/>
          <w:b/>
          <w:bCs/>
          <w:iCs/>
          <w:sz w:val="22"/>
        </w:rPr>
        <w:t>transparencia y buen gobierno sobre la gestión del talento sénior en las empresas del IBEX 35,</w:t>
      </w:r>
      <w:r w:rsidR="00582AB1" w:rsidRPr="00582AB1">
        <w:rPr>
          <w:rFonts w:asciiTheme="minorHAnsi" w:hAnsiTheme="minorHAnsi" w:cstheme="minorHAnsi"/>
          <w:iCs/>
          <w:sz w:val="22"/>
        </w:rPr>
        <w:t xml:space="preserve"> resalta el aumento de la información con respecto al colectivo mayor de 50 años.</w:t>
      </w:r>
    </w:p>
    <w:p w14:paraId="634AF037" w14:textId="2BCE8957" w:rsidR="00582AB1" w:rsidRPr="00582AB1" w:rsidRDefault="00582AB1" w:rsidP="00582AB1">
      <w:pPr>
        <w:jc w:val="both"/>
        <w:rPr>
          <w:rFonts w:asciiTheme="minorHAnsi" w:hAnsiTheme="minorHAnsi" w:cstheme="minorHAnsi"/>
          <w:iCs/>
          <w:sz w:val="22"/>
        </w:rPr>
      </w:pPr>
      <w:r w:rsidRPr="00582AB1">
        <w:rPr>
          <w:rFonts w:asciiTheme="minorHAnsi" w:hAnsiTheme="minorHAnsi" w:cstheme="minorHAnsi"/>
          <w:iCs/>
          <w:sz w:val="22"/>
        </w:rPr>
        <w:t xml:space="preserve">El análisis fue presentado en la mañana de ayer, de manera online, donde María López Escorial, presidenta de la Fundación Compromiso y Transparencia, subrayó la importancia del talento sénior para el desarrollo de las sociedades: “Su gestión eficaz no solo es una manera de </w:t>
      </w:r>
      <w:r w:rsidRPr="00582AB1">
        <w:rPr>
          <w:rFonts w:asciiTheme="minorHAnsi" w:hAnsiTheme="minorHAnsi" w:cstheme="minorHAnsi"/>
          <w:b/>
          <w:bCs/>
          <w:iCs/>
          <w:sz w:val="22"/>
        </w:rPr>
        <w:t>apalancar recursos muy cualificados</w:t>
      </w:r>
      <w:r w:rsidRPr="00582AB1">
        <w:rPr>
          <w:rFonts w:asciiTheme="minorHAnsi" w:hAnsiTheme="minorHAnsi" w:cstheme="minorHAnsi"/>
          <w:iCs/>
          <w:sz w:val="22"/>
        </w:rPr>
        <w:t xml:space="preserve"> que de otra manera se quedarían en el olvido, de evitar unos costes a la sociedad provocados por la falta de actividad de nuestros mayores, y de evolucionar hacia el futuro con la sabiduría de la experiencia, sino también es una forma de generar una sociedad agradecida, humana y más justa</w:t>
      </w:r>
      <w:r>
        <w:rPr>
          <w:rFonts w:asciiTheme="minorHAnsi" w:hAnsiTheme="minorHAnsi" w:cstheme="minorHAnsi"/>
          <w:iCs/>
          <w:sz w:val="22"/>
        </w:rPr>
        <w:t>,</w:t>
      </w:r>
      <w:r w:rsidRPr="00582AB1">
        <w:rPr>
          <w:rFonts w:asciiTheme="minorHAnsi" w:hAnsiTheme="minorHAnsi" w:cstheme="minorHAnsi"/>
          <w:iCs/>
          <w:sz w:val="22"/>
        </w:rPr>
        <w:t xml:space="preserve"> reconociendo a aquellos que han dado toda su vida por ella sin permitir que por llegar a una edad sean relegados a un según plano”.</w:t>
      </w:r>
    </w:p>
    <w:p w14:paraId="084D6E4C" w14:textId="463EC945" w:rsidR="00582AB1" w:rsidRDefault="00582AB1" w:rsidP="00582AB1">
      <w:pPr>
        <w:jc w:val="both"/>
        <w:rPr>
          <w:rFonts w:asciiTheme="minorHAnsi" w:hAnsiTheme="minorHAnsi" w:cstheme="minorHAnsi"/>
          <w:iCs/>
          <w:sz w:val="22"/>
        </w:rPr>
      </w:pPr>
      <w:r w:rsidRPr="00582AB1">
        <w:rPr>
          <w:rFonts w:asciiTheme="minorHAnsi" w:hAnsiTheme="minorHAnsi" w:cstheme="minorHAnsi"/>
          <w:iCs/>
          <w:sz w:val="22"/>
        </w:rPr>
        <w:t xml:space="preserve">El acto contó con el apoyo de </w:t>
      </w:r>
      <w:r w:rsidRPr="00582AB1">
        <w:rPr>
          <w:rFonts w:asciiTheme="minorHAnsi" w:hAnsiTheme="minorHAnsi" w:cstheme="minorHAnsi"/>
          <w:b/>
          <w:bCs/>
          <w:iCs/>
          <w:sz w:val="22"/>
        </w:rPr>
        <w:t>Generación Savia,</w:t>
      </w:r>
      <w:r w:rsidRPr="00582AB1">
        <w:rPr>
          <w:rFonts w:asciiTheme="minorHAnsi" w:hAnsiTheme="minorHAnsi" w:cstheme="minorHAnsi"/>
          <w:iCs/>
          <w:sz w:val="22"/>
        </w:rPr>
        <w:t xml:space="preserve"> a través de Gloria Juste, directora de proyectos de Fundación Endesa. “Desde Savia, plataforma digital que impulsa la empleabilidad de los profesionales mayores de 50 años, consideramos que en estos momentos necesitamos toda la energía disponible en el país, necesitamos profesionales que aporten acción, sentido común, creatividad, experiencia y ética consolidada. Personas que han dedicado su vida a crear y transformar empresas y nuestra sociedad. Las necesitamos ahora más que nunca. Por lo que es imprescindible que se pongan en marcha </w:t>
      </w:r>
      <w:r w:rsidRPr="00582AB1">
        <w:rPr>
          <w:rFonts w:asciiTheme="minorHAnsi" w:hAnsiTheme="minorHAnsi" w:cstheme="minorHAnsi"/>
          <w:b/>
          <w:bCs/>
          <w:iCs/>
          <w:sz w:val="22"/>
        </w:rPr>
        <w:t xml:space="preserve">acciones y políticas que apoyen la gestión del talento sénior </w:t>
      </w:r>
      <w:r w:rsidRPr="00582AB1">
        <w:rPr>
          <w:rFonts w:asciiTheme="minorHAnsi" w:hAnsiTheme="minorHAnsi" w:cstheme="minorHAnsi"/>
          <w:iCs/>
          <w:sz w:val="22"/>
        </w:rPr>
        <w:t>como clave de la estrategia empresarial y para la recuperación económica de</w:t>
      </w:r>
      <w:r>
        <w:rPr>
          <w:rFonts w:asciiTheme="minorHAnsi" w:hAnsiTheme="minorHAnsi" w:cstheme="minorHAnsi"/>
          <w:iCs/>
          <w:sz w:val="22"/>
        </w:rPr>
        <w:t>l</w:t>
      </w:r>
      <w:r w:rsidRPr="00582AB1">
        <w:rPr>
          <w:rFonts w:asciiTheme="minorHAnsi" w:hAnsiTheme="minorHAnsi" w:cstheme="minorHAnsi"/>
          <w:iCs/>
          <w:sz w:val="22"/>
        </w:rPr>
        <w:t xml:space="preserve"> país”.</w:t>
      </w:r>
    </w:p>
    <w:p w14:paraId="554304F3" w14:textId="61D6CB98" w:rsidR="001455A9" w:rsidRPr="001455A9" w:rsidRDefault="001455A9" w:rsidP="00582AB1">
      <w:pPr>
        <w:jc w:val="both"/>
        <w:rPr>
          <w:rFonts w:asciiTheme="minorHAnsi" w:hAnsiTheme="minorHAnsi" w:cstheme="minorHAnsi"/>
          <w:b/>
          <w:bCs/>
          <w:sz w:val="22"/>
        </w:rPr>
      </w:pPr>
      <w:r w:rsidRPr="001455A9">
        <w:rPr>
          <w:rFonts w:asciiTheme="minorHAnsi" w:hAnsiTheme="minorHAnsi" w:cstheme="minorHAnsi"/>
          <w:b/>
          <w:bCs/>
          <w:sz w:val="22"/>
        </w:rPr>
        <w:t>La evolución de las empresas del IBEX 35</w:t>
      </w:r>
    </w:p>
    <w:p w14:paraId="6502AD15" w14:textId="3D58568F" w:rsidR="00C74FBA" w:rsidRPr="009026CF" w:rsidRDefault="0045107A" w:rsidP="00C74FBA">
      <w:pPr>
        <w:jc w:val="both"/>
        <w:rPr>
          <w:rFonts w:asciiTheme="minorHAnsi" w:hAnsiTheme="minorHAnsi" w:cstheme="minorHAnsi"/>
          <w:sz w:val="22"/>
        </w:rPr>
      </w:pPr>
      <w:r w:rsidRPr="009026CF">
        <w:rPr>
          <w:rFonts w:asciiTheme="minorHAnsi" w:hAnsiTheme="minorHAnsi" w:cstheme="minorHAnsi"/>
          <w:sz w:val="22"/>
        </w:rPr>
        <w:t>En opinión de José Miguel Roca</w:t>
      </w:r>
      <w:r w:rsidR="009026CF">
        <w:rPr>
          <w:rFonts w:asciiTheme="minorHAnsi" w:hAnsiTheme="minorHAnsi" w:cstheme="minorHAnsi"/>
          <w:sz w:val="22"/>
        </w:rPr>
        <w:t>,</w:t>
      </w:r>
      <w:r w:rsidRPr="009026CF">
        <w:rPr>
          <w:rFonts w:asciiTheme="minorHAnsi" w:hAnsiTheme="minorHAnsi" w:cstheme="minorHAnsi"/>
          <w:sz w:val="22"/>
        </w:rPr>
        <w:t xml:space="preserve"> coautor del informe, “el incremento en la información estadística sobre altas, bajas y jubilaciones sobre el colectivo s</w:t>
      </w:r>
      <w:r w:rsidR="009026CF">
        <w:rPr>
          <w:rFonts w:asciiTheme="minorHAnsi" w:hAnsiTheme="minorHAnsi" w:cstheme="minorHAnsi"/>
          <w:sz w:val="22"/>
        </w:rPr>
        <w:t>é</w:t>
      </w:r>
      <w:r w:rsidRPr="009026CF">
        <w:rPr>
          <w:rFonts w:asciiTheme="minorHAnsi" w:hAnsiTheme="minorHAnsi" w:cstheme="minorHAnsi"/>
          <w:sz w:val="22"/>
        </w:rPr>
        <w:t xml:space="preserve">nior se debe sin duda a la reciente aprobación de la </w:t>
      </w:r>
      <w:r w:rsidRPr="00A308B9">
        <w:rPr>
          <w:rFonts w:asciiTheme="minorHAnsi" w:hAnsiTheme="minorHAnsi" w:cstheme="minorHAnsi"/>
          <w:b/>
          <w:bCs/>
          <w:iCs/>
          <w:sz w:val="22"/>
        </w:rPr>
        <w:t>Ley de información no financiera y diversidad.</w:t>
      </w:r>
      <w:r w:rsidRPr="009026CF">
        <w:rPr>
          <w:rFonts w:asciiTheme="minorHAnsi" w:hAnsiTheme="minorHAnsi" w:cstheme="minorHAnsi"/>
          <w:iCs/>
          <w:sz w:val="22"/>
        </w:rPr>
        <w:t xml:space="preserve"> </w:t>
      </w:r>
      <w:r w:rsidRPr="009026CF">
        <w:rPr>
          <w:rFonts w:asciiTheme="minorHAnsi" w:hAnsiTheme="minorHAnsi" w:cstheme="minorHAnsi"/>
          <w:sz w:val="22"/>
        </w:rPr>
        <w:t>En virtud de esta ley, se obliga a determinadas compañías, entre las que se encuentran todas las empresas del IBEX 35, a elaborar un informe especial sobre aspectos no financieros que incluyen, entre otros, la información sobre cuestiones sociales y relativas al personal</w:t>
      </w:r>
      <w:r w:rsidR="009508C0">
        <w:rPr>
          <w:rFonts w:asciiTheme="minorHAnsi" w:hAnsiTheme="minorHAnsi" w:cstheme="minorHAnsi"/>
          <w:sz w:val="22"/>
        </w:rPr>
        <w:t>”</w:t>
      </w:r>
      <w:r w:rsidRPr="009026CF">
        <w:rPr>
          <w:rFonts w:asciiTheme="minorHAnsi" w:hAnsiTheme="minorHAnsi" w:cstheme="minorHAnsi"/>
          <w:sz w:val="22"/>
        </w:rPr>
        <w:t xml:space="preserve">. En esta información se </w:t>
      </w:r>
      <w:r w:rsidR="009026CF">
        <w:rPr>
          <w:rFonts w:asciiTheme="minorHAnsi" w:hAnsiTheme="minorHAnsi" w:cstheme="minorHAnsi"/>
          <w:sz w:val="22"/>
        </w:rPr>
        <w:t>encuentran</w:t>
      </w:r>
      <w:r w:rsidRPr="009026CF">
        <w:rPr>
          <w:rFonts w:asciiTheme="minorHAnsi" w:hAnsiTheme="minorHAnsi" w:cstheme="minorHAnsi"/>
          <w:sz w:val="22"/>
        </w:rPr>
        <w:t xml:space="preserve"> asuntos como la remuneración, </w:t>
      </w:r>
      <w:r w:rsidR="009026CF">
        <w:rPr>
          <w:rFonts w:asciiTheme="minorHAnsi" w:hAnsiTheme="minorHAnsi" w:cstheme="minorHAnsi"/>
          <w:sz w:val="22"/>
        </w:rPr>
        <w:t xml:space="preserve">la </w:t>
      </w:r>
      <w:r w:rsidRPr="009026CF">
        <w:rPr>
          <w:rFonts w:asciiTheme="minorHAnsi" w:hAnsiTheme="minorHAnsi" w:cstheme="minorHAnsi"/>
          <w:sz w:val="22"/>
        </w:rPr>
        <w:t>brecha salarial,</w:t>
      </w:r>
      <w:r w:rsidR="009026CF">
        <w:rPr>
          <w:rFonts w:asciiTheme="minorHAnsi" w:hAnsiTheme="minorHAnsi" w:cstheme="minorHAnsi"/>
          <w:sz w:val="22"/>
        </w:rPr>
        <w:t xml:space="preserve"> las</w:t>
      </w:r>
      <w:r w:rsidRPr="009026CF">
        <w:rPr>
          <w:rFonts w:asciiTheme="minorHAnsi" w:hAnsiTheme="minorHAnsi" w:cstheme="minorHAnsi"/>
          <w:sz w:val="22"/>
        </w:rPr>
        <w:t xml:space="preserve"> medidas sobre diversidad, inclusión y no discriminación, </w:t>
      </w:r>
      <w:r w:rsidR="009026CF">
        <w:rPr>
          <w:rFonts w:asciiTheme="minorHAnsi" w:hAnsiTheme="minorHAnsi" w:cstheme="minorHAnsi"/>
          <w:sz w:val="22"/>
        </w:rPr>
        <w:t xml:space="preserve">la </w:t>
      </w:r>
      <w:r w:rsidRPr="009026CF">
        <w:rPr>
          <w:rFonts w:asciiTheme="minorHAnsi" w:hAnsiTheme="minorHAnsi" w:cstheme="minorHAnsi"/>
          <w:sz w:val="22"/>
        </w:rPr>
        <w:t xml:space="preserve">desconexión laboral, </w:t>
      </w:r>
      <w:r w:rsidR="009026CF">
        <w:rPr>
          <w:rFonts w:asciiTheme="minorHAnsi" w:hAnsiTheme="minorHAnsi" w:cstheme="minorHAnsi"/>
          <w:sz w:val="22"/>
        </w:rPr>
        <w:t xml:space="preserve">los </w:t>
      </w:r>
      <w:r w:rsidRPr="009026CF">
        <w:rPr>
          <w:rFonts w:asciiTheme="minorHAnsi" w:hAnsiTheme="minorHAnsi" w:cstheme="minorHAnsi"/>
          <w:sz w:val="22"/>
        </w:rPr>
        <w:t xml:space="preserve">despidos, </w:t>
      </w:r>
      <w:r w:rsidR="009026CF">
        <w:rPr>
          <w:rFonts w:asciiTheme="minorHAnsi" w:hAnsiTheme="minorHAnsi" w:cstheme="minorHAnsi"/>
          <w:sz w:val="22"/>
        </w:rPr>
        <w:t xml:space="preserve">las </w:t>
      </w:r>
      <w:r w:rsidRPr="009026CF">
        <w:rPr>
          <w:rFonts w:asciiTheme="minorHAnsi" w:hAnsiTheme="minorHAnsi" w:cstheme="minorHAnsi"/>
          <w:sz w:val="22"/>
        </w:rPr>
        <w:t xml:space="preserve">relaciones sociales y organización del diálogo social y </w:t>
      </w:r>
      <w:r w:rsidR="009026CF">
        <w:rPr>
          <w:rFonts w:asciiTheme="minorHAnsi" w:hAnsiTheme="minorHAnsi" w:cstheme="minorHAnsi"/>
          <w:sz w:val="22"/>
        </w:rPr>
        <w:t xml:space="preserve">la </w:t>
      </w:r>
      <w:r w:rsidRPr="009026CF">
        <w:rPr>
          <w:rFonts w:asciiTheme="minorHAnsi" w:hAnsiTheme="minorHAnsi" w:cstheme="minorHAnsi"/>
          <w:sz w:val="22"/>
        </w:rPr>
        <w:t>salud y seguridad en el trabajo.</w:t>
      </w:r>
    </w:p>
    <w:p w14:paraId="7D730812" w14:textId="77777777" w:rsidR="00582AB1" w:rsidRDefault="0045107A" w:rsidP="00C74FBA">
      <w:pPr>
        <w:jc w:val="both"/>
        <w:rPr>
          <w:rFonts w:asciiTheme="minorHAnsi" w:hAnsiTheme="minorHAnsi" w:cstheme="minorHAnsi"/>
          <w:sz w:val="22"/>
        </w:rPr>
      </w:pPr>
      <w:r w:rsidRPr="009026CF">
        <w:rPr>
          <w:rFonts w:asciiTheme="minorHAnsi" w:hAnsiTheme="minorHAnsi" w:cstheme="minorHAnsi"/>
          <w:sz w:val="22"/>
        </w:rPr>
        <w:lastRenderedPageBreak/>
        <w:t xml:space="preserve">La aprobación de la </w:t>
      </w:r>
      <w:r w:rsidRPr="00EA195F">
        <w:rPr>
          <w:rFonts w:asciiTheme="minorHAnsi" w:hAnsiTheme="minorHAnsi" w:cstheme="minorHAnsi"/>
          <w:iCs/>
          <w:sz w:val="22"/>
        </w:rPr>
        <w:t>Ley de información no financiera y diversidad</w:t>
      </w:r>
      <w:r w:rsidRPr="009026CF">
        <w:rPr>
          <w:rFonts w:asciiTheme="minorHAnsi" w:hAnsiTheme="minorHAnsi" w:cstheme="minorHAnsi"/>
          <w:sz w:val="22"/>
        </w:rPr>
        <w:t xml:space="preserve"> ha sido la causa de que en dos años el número de empresas calificadas como </w:t>
      </w:r>
      <w:r w:rsidRPr="00A308B9">
        <w:rPr>
          <w:rFonts w:asciiTheme="minorHAnsi" w:hAnsiTheme="minorHAnsi" w:cstheme="minorHAnsi"/>
          <w:b/>
          <w:bCs/>
          <w:i/>
          <w:iCs/>
          <w:sz w:val="22"/>
        </w:rPr>
        <w:t>t</w:t>
      </w:r>
      <w:r w:rsidRPr="00A308B9">
        <w:rPr>
          <w:rFonts w:asciiTheme="minorHAnsi" w:hAnsiTheme="minorHAnsi" w:cstheme="minorHAnsi"/>
          <w:b/>
          <w:bCs/>
          <w:i/>
          <w:sz w:val="22"/>
        </w:rPr>
        <w:t>ransparentes</w:t>
      </w:r>
      <w:r w:rsidRPr="00A308B9">
        <w:rPr>
          <w:rFonts w:asciiTheme="minorHAnsi" w:hAnsiTheme="minorHAnsi" w:cstheme="minorHAnsi"/>
          <w:b/>
          <w:bCs/>
          <w:sz w:val="22"/>
        </w:rPr>
        <w:t xml:space="preserve"> se haya duplicado,</w:t>
      </w:r>
      <w:r w:rsidRPr="009026CF">
        <w:rPr>
          <w:rFonts w:asciiTheme="minorHAnsi" w:hAnsiTheme="minorHAnsi" w:cstheme="minorHAnsi"/>
          <w:sz w:val="22"/>
        </w:rPr>
        <w:t xml:space="preserve"> </w:t>
      </w:r>
      <w:r w:rsidR="00652D23">
        <w:rPr>
          <w:rFonts w:asciiTheme="minorHAnsi" w:hAnsiTheme="minorHAnsi" w:cstheme="minorHAnsi"/>
          <w:sz w:val="22"/>
        </w:rPr>
        <w:t>además de que</w:t>
      </w:r>
      <w:r w:rsidRPr="009026CF">
        <w:rPr>
          <w:rFonts w:asciiTheme="minorHAnsi" w:hAnsiTheme="minorHAnsi" w:cstheme="minorHAnsi"/>
          <w:sz w:val="22"/>
        </w:rPr>
        <w:t xml:space="preserve"> el de </w:t>
      </w:r>
      <w:r w:rsidRPr="009026CF">
        <w:rPr>
          <w:rFonts w:asciiTheme="minorHAnsi" w:hAnsiTheme="minorHAnsi" w:cstheme="minorHAnsi"/>
          <w:i/>
          <w:sz w:val="22"/>
        </w:rPr>
        <w:t xml:space="preserve">translúcidas </w:t>
      </w:r>
      <w:r w:rsidRPr="009026CF">
        <w:rPr>
          <w:rFonts w:asciiTheme="minorHAnsi" w:hAnsiTheme="minorHAnsi" w:cstheme="minorHAnsi"/>
          <w:sz w:val="22"/>
        </w:rPr>
        <w:t>se ha</w:t>
      </w:r>
      <w:r w:rsidR="00F03305" w:rsidRPr="009026CF">
        <w:rPr>
          <w:rFonts w:asciiTheme="minorHAnsi" w:hAnsiTheme="minorHAnsi" w:cstheme="minorHAnsi"/>
          <w:sz w:val="22"/>
        </w:rPr>
        <w:t>ya</w:t>
      </w:r>
      <w:r w:rsidRPr="009026CF">
        <w:rPr>
          <w:rFonts w:asciiTheme="minorHAnsi" w:hAnsiTheme="minorHAnsi" w:cstheme="minorHAnsi"/>
          <w:sz w:val="22"/>
        </w:rPr>
        <w:t xml:space="preserve"> incrementado</w:t>
      </w:r>
      <w:r w:rsidR="00652D23">
        <w:rPr>
          <w:rFonts w:asciiTheme="minorHAnsi" w:hAnsiTheme="minorHAnsi" w:cstheme="minorHAnsi"/>
          <w:sz w:val="22"/>
        </w:rPr>
        <w:t xml:space="preserve"> en</w:t>
      </w:r>
      <w:r w:rsidRPr="009026CF">
        <w:rPr>
          <w:rFonts w:asciiTheme="minorHAnsi" w:hAnsiTheme="minorHAnsi" w:cstheme="minorHAnsi"/>
          <w:sz w:val="22"/>
        </w:rPr>
        <w:t xml:space="preserve"> más de un 50%.</w:t>
      </w:r>
    </w:p>
    <w:p w14:paraId="3D02C06A" w14:textId="50EF0A82" w:rsidR="00EA195F" w:rsidRPr="009026CF" w:rsidRDefault="00EA195F" w:rsidP="00C74FBA">
      <w:pPr>
        <w:jc w:val="both"/>
        <w:rPr>
          <w:rFonts w:asciiTheme="minorHAnsi" w:hAnsiTheme="minorHAnsi" w:cstheme="minorHAnsi"/>
          <w:sz w:val="22"/>
        </w:rPr>
      </w:pPr>
      <w:r>
        <w:rPr>
          <w:rFonts w:asciiTheme="minorHAnsi" w:hAnsiTheme="minorHAnsi" w:cstheme="minorHAnsi"/>
          <w:noProof/>
          <w:sz w:val="22"/>
        </w:rPr>
        <w:drawing>
          <wp:inline distT="0" distB="0" distL="0" distR="0" wp14:anchorId="4E672991" wp14:editId="4807A987">
            <wp:extent cx="5400040" cy="19056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9">
                      <a:extLst>
                        <a:ext uri="{28A0092B-C50C-407E-A947-70E740481C1C}">
                          <a14:useLocalDpi xmlns:a14="http://schemas.microsoft.com/office/drawing/2010/main" val="0"/>
                        </a:ext>
                      </a:extLst>
                    </a:blip>
                    <a:stretch>
                      <a:fillRect/>
                    </a:stretch>
                  </pic:blipFill>
                  <pic:spPr>
                    <a:xfrm>
                      <a:off x="0" y="0"/>
                      <a:ext cx="5400040" cy="1905635"/>
                    </a:xfrm>
                    <a:prstGeom prst="rect">
                      <a:avLst/>
                    </a:prstGeom>
                  </pic:spPr>
                </pic:pic>
              </a:graphicData>
            </a:graphic>
          </wp:inline>
        </w:drawing>
      </w:r>
    </w:p>
    <w:p w14:paraId="72F9A0EA" w14:textId="77777777" w:rsidR="00652D23" w:rsidRDefault="00F03305" w:rsidP="00C74FBA">
      <w:pPr>
        <w:jc w:val="both"/>
        <w:rPr>
          <w:rFonts w:asciiTheme="minorHAnsi" w:hAnsiTheme="minorHAnsi" w:cstheme="minorHAnsi"/>
          <w:sz w:val="22"/>
        </w:rPr>
      </w:pPr>
      <w:r w:rsidRPr="009026CF">
        <w:rPr>
          <w:rFonts w:asciiTheme="minorHAnsi" w:hAnsiTheme="minorHAnsi" w:cstheme="minorHAnsi"/>
          <w:sz w:val="22"/>
        </w:rPr>
        <w:t xml:space="preserve">El informe llama la atención sobre el protagonismo de las </w:t>
      </w:r>
      <w:r w:rsidRPr="009026CF">
        <w:rPr>
          <w:rFonts w:asciiTheme="minorHAnsi" w:hAnsiTheme="minorHAnsi" w:cstheme="minorHAnsi"/>
          <w:i/>
          <w:sz w:val="22"/>
        </w:rPr>
        <w:t>utilities</w:t>
      </w:r>
      <w:r w:rsidRPr="009026CF">
        <w:rPr>
          <w:rFonts w:asciiTheme="minorHAnsi" w:hAnsiTheme="minorHAnsi" w:cstheme="minorHAnsi"/>
          <w:sz w:val="22"/>
        </w:rPr>
        <w:t xml:space="preserve"> </w:t>
      </w:r>
      <w:r w:rsidR="00A308B9" w:rsidRPr="00652D23">
        <w:rPr>
          <w:rFonts w:asciiTheme="minorHAnsi" w:hAnsiTheme="minorHAnsi" w:cstheme="minorHAnsi"/>
          <w:b/>
          <w:bCs/>
          <w:sz w:val="22"/>
        </w:rPr>
        <w:t xml:space="preserve">(Red Eléctrica, Iberdrola, Naturgy </w:t>
      </w:r>
      <w:r w:rsidR="00A308B9" w:rsidRPr="00652D23">
        <w:rPr>
          <w:rFonts w:asciiTheme="minorHAnsi" w:hAnsiTheme="minorHAnsi" w:cstheme="minorHAnsi"/>
          <w:sz w:val="22"/>
        </w:rPr>
        <w:t>y</w:t>
      </w:r>
      <w:r w:rsidR="00A308B9" w:rsidRPr="00652D23">
        <w:rPr>
          <w:rFonts w:asciiTheme="minorHAnsi" w:hAnsiTheme="minorHAnsi" w:cstheme="minorHAnsi"/>
          <w:b/>
          <w:bCs/>
          <w:sz w:val="22"/>
        </w:rPr>
        <w:t xml:space="preserve"> Endesa)</w:t>
      </w:r>
      <w:r w:rsidR="00A308B9">
        <w:rPr>
          <w:rFonts w:asciiTheme="minorHAnsi" w:hAnsiTheme="minorHAnsi" w:cstheme="minorHAnsi"/>
          <w:sz w:val="22"/>
        </w:rPr>
        <w:t xml:space="preserve"> </w:t>
      </w:r>
      <w:r w:rsidRPr="009026CF">
        <w:rPr>
          <w:rFonts w:asciiTheme="minorHAnsi" w:hAnsiTheme="minorHAnsi" w:cstheme="minorHAnsi"/>
          <w:sz w:val="22"/>
        </w:rPr>
        <w:t xml:space="preserve">en las primeras posiciones, </w:t>
      </w:r>
      <w:r w:rsidR="00A308B9">
        <w:rPr>
          <w:rFonts w:asciiTheme="minorHAnsi" w:hAnsiTheme="minorHAnsi" w:cstheme="minorHAnsi"/>
          <w:sz w:val="22"/>
        </w:rPr>
        <w:t xml:space="preserve">cuyo ranking lidera </w:t>
      </w:r>
      <w:r w:rsidR="00A308B9" w:rsidRPr="00652D23">
        <w:rPr>
          <w:rFonts w:asciiTheme="minorHAnsi" w:hAnsiTheme="minorHAnsi" w:cstheme="minorHAnsi"/>
          <w:b/>
          <w:bCs/>
          <w:sz w:val="22"/>
        </w:rPr>
        <w:t>Caixabank,</w:t>
      </w:r>
      <w:r w:rsidR="00A308B9">
        <w:rPr>
          <w:rFonts w:asciiTheme="minorHAnsi" w:hAnsiTheme="minorHAnsi" w:cstheme="minorHAnsi"/>
          <w:sz w:val="22"/>
        </w:rPr>
        <w:t xml:space="preserve"> </w:t>
      </w:r>
      <w:r w:rsidRPr="009026CF">
        <w:rPr>
          <w:rFonts w:asciiTheme="minorHAnsi" w:hAnsiTheme="minorHAnsi" w:cstheme="minorHAnsi"/>
          <w:sz w:val="22"/>
        </w:rPr>
        <w:t xml:space="preserve">así como de </w:t>
      </w:r>
      <w:r w:rsidR="00652D23">
        <w:rPr>
          <w:rFonts w:asciiTheme="minorHAnsi" w:hAnsiTheme="minorHAnsi" w:cstheme="minorHAnsi"/>
          <w:sz w:val="22"/>
        </w:rPr>
        <w:t xml:space="preserve">compañías como </w:t>
      </w:r>
      <w:r w:rsidRPr="00652D23">
        <w:rPr>
          <w:rFonts w:asciiTheme="minorHAnsi" w:hAnsiTheme="minorHAnsi" w:cstheme="minorHAnsi"/>
          <w:b/>
          <w:bCs/>
          <w:sz w:val="22"/>
        </w:rPr>
        <w:t>Mapfre</w:t>
      </w:r>
      <w:r w:rsidR="00652D23">
        <w:rPr>
          <w:rFonts w:asciiTheme="minorHAnsi" w:hAnsiTheme="minorHAnsi" w:cstheme="minorHAnsi"/>
          <w:sz w:val="22"/>
        </w:rPr>
        <w:t xml:space="preserve"> y </w:t>
      </w:r>
      <w:r w:rsidR="00652D23" w:rsidRPr="00652D23">
        <w:rPr>
          <w:rFonts w:asciiTheme="minorHAnsi" w:hAnsiTheme="minorHAnsi" w:cstheme="minorHAnsi"/>
          <w:b/>
          <w:bCs/>
          <w:sz w:val="22"/>
        </w:rPr>
        <w:t>Telefónica</w:t>
      </w:r>
      <w:r w:rsidRPr="009026CF">
        <w:rPr>
          <w:rFonts w:asciiTheme="minorHAnsi" w:hAnsiTheme="minorHAnsi" w:cstheme="minorHAnsi"/>
          <w:sz w:val="22"/>
        </w:rPr>
        <w:t xml:space="preserve">. </w:t>
      </w:r>
    </w:p>
    <w:p w14:paraId="30B44A8E" w14:textId="3B88322C" w:rsidR="00F03305" w:rsidRPr="009026CF" w:rsidRDefault="00F03305" w:rsidP="00C74FBA">
      <w:pPr>
        <w:jc w:val="both"/>
        <w:rPr>
          <w:rFonts w:asciiTheme="minorHAnsi" w:hAnsiTheme="minorHAnsi" w:cstheme="minorHAnsi"/>
          <w:sz w:val="22"/>
        </w:rPr>
      </w:pPr>
      <w:r w:rsidRPr="009026CF">
        <w:rPr>
          <w:rFonts w:asciiTheme="minorHAnsi" w:hAnsiTheme="minorHAnsi" w:cstheme="minorHAnsi"/>
          <w:sz w:val="22"/>
        </w:rPr>
        <w:t>Por el contrario, las empresas nuevas en el IBEX 35 (</w:t>
      </w:r>
      <w:r w:rsidRPr="00652D23">
        <w:rPr>
          <w:rFonts w:asciiTheme="minorHAnsi" w:hAnsiTheme="minorHAnsi" w:cstheme="minorHAnsi"/>
          <w:b/>
          <w:bCs/>
          <w:sz w:val="22"/>
        </w:rPr>
        <w:t>Más</w:t>
      </w:r>
      <w:r w:rsidR="00EA195F" w:rsidRPr="00652D23">
        <w:rPr>
          <w:rFonts w:asciiTheme="minorHAnsi" w:hAnsiTheme="minorHAnsi" w:cstheme="minorHAnsi"/>
          <w:b/>
          <w:bCs/>
          <w:sz w:val="22"/>
        </w:rPr>
        <w:t>M</w:t>
      </w:r>
      <w:r w:rsidRPr="00652D23">
        <w:rPr>
          <w:rFonts w:asciiTheme="minorHAnsi" w:hAnsiTheme="minorHAnsi" w:cstheme="minorHAnsi"/>
          <w:b/>
          <w:bCs/>
          <w:sz w:val="22"/>
        </w:rPr>
        <w:t>óvil</w:t>
      </w:r>
      <w:r w:rsidRPr="009026CF">
        <w:rPr>
          <w:rFonts w:asciiTheme="minorHAnsi" w:hAnsiTheme="minorHAnsi" w:cstheme="minorHAnsi"/>
          <w:sz w:val="22"/>
        </w:rPr>
        <w:t xml:space="preserve"> en 2019 y </w:t>
      </w:r>
      <w:r w:rsidRPr="00652D23">
        <w:rPr>
          <w:rFonts w:asciiTheme="minorHAnsi" w:hAnsiTheme="minorHAnsi" w:cstheme="minorHAnsi"/>
          <w:b/>
          <w:bCs/>
          <w:sz w:val="22"/>
        </w:rPr>
        <w:t>Almirall</w:t>
      </w:r>
      <w:r w:rsidRPr="009026CF">
        <w:rPr>
          <w:rFonts w:asciiTheme="minorHAnsi" w:hAnsiTheme="minorHAnsi" w:cstheme="minorHAnsi"/>
          <w:sz w:val="22"/>
        </w:rPr>
        <w:t xml:space="preserve"> en 2020) empiezan en el ranking en posiciones muy bajas, lo que indica que fuera del índice bursátil el nivel de transparencia en estos temas no es muy grande.</w:t>
      </w:r>
    </w:p>
    <w:p w14:paraId="0F9CE575" w14:textId="00CA1A06" w:rsidR="00F03305" w:rsidRPr="009026CF" w:rsidRDefault="00F03305" w:rsidP="00C74FBA">
      <w:pPr>
        <w:jc w:val="both"/>
        <w:rPr>
          <w:rFonts w:asciiTheme="minorHAnsi" w:hAnsiTheme="minorHAnsi" w:cstheme="minorHAnsi"/>
          <w:sz w:val="22"/>
        </w:rPr>
      </w:pPr>
      <w:r w:rsidRPr="009026CF">
        <w:rPr>
          <w:rFonts w:asciiTheme="minorHAnsi" w:hAnsiTheme="minorHAnsi" w:cstheme="minorHAnsi"/>
          <w:sz w:val="22"/>
        </w:rPr>
        <w:t xml:space="preserve">El crecimiento sostenido, sin embargo, no ha sido similar en otras áreas de información como las </w:t>
      </w:r>
      <w:r w:rsidR="00EA195F">
        <w:rPr>
          <w:rFonts w:asciiTheme="minorHAnsi" w:hAnsiTheme="minorHAnsi" w:cstheme="minorHAnsi"/>
          <w:sz w:val="22"/>
        </w:rPr>
        <w:t xml:space="preserve">de </w:t>
      </w:r>
      <w:r w:rsidRPr="00652D23">
        <w:rPr>
          <w:rFonts w:asciiTheme="minorHAnsi" w:hAnsiTheme="minorHAnsi" w:cstheme="minorHAnsi"/>
          <w:b/>
          <w:bCs/>
          <w:sz w:val="22"/>
        </w:rPr>
        <w:t>salud, reconocimiento o preparación para el cambio de etapa</w:t>
      </w:r>
      <w:r w:rsidRPr="009026CF">
        <w:rPr>
          <w:rFonts w:asciiTheme="minorHAnsi" w:hAnsiTheme="minorHAnsi" w:cstheme="minorHAnsi"/>
          <w:sz w:val="22"/>
        </w:rPr>
        <w:t xml:space="preserve"> (salida de la empresa) en las que se examinan las acciones o prácticas concretas que impulsa o desarrolla la empresa para abordar diversas cuestiones relacionadas con </w:t>
      </w:r>
      <w:r w:rsidR="00EA195F">
        <w:rPr>
          <w:rFonts w:asciiTheme="minorHAnsi" w:hAnsiTheme="minorHAnsi" w:cstheme="minorHAnsi"/>
          <w:sz w:val="22"/>
        </w:rPr>
        <w:t>los empleados</w:t>
      </w:r>
      <w:r w:rsidRPr="009026CF">
        <w:rPr>
          <w:rFonts w:asciiTheme="minorHAnsi" w:hAnsiTheme="minorHAnsi" w:cstheme="minorHAnsi"/>
          <w:sz w:val="22"/>
        </w:rPr>
        <w:t xml:space="preserve"> sénior.</w:t>
      </w:r>
    </w:p>
    <w:p w14:paraId="111B7201" w14:textId="49FE2C53" w:rsidR="00F03305" w:rsidRDefault="00F03305" w:rsidP="00C74FBA">
      <w:pPr>
        <w:jc w:val="both"/>
        <w:rPr>
          <w:rFonts w:asciiTheme="minorHAnsi" w:hAnsiTheme="minorHAnsi" w:cstheme="minorHAnsi"/>
          <w:sz w:val="22"/>
        </w:rPr>
      </w:pPr>
      <w:r w:rsidRPr="009026CF">
        <w:rPr>
          <w:rFonts w:asciiTheme="minorHAnsi" w:hAnsiTheme="minorHAnsi" w:cstheme="minorHAnsi"/>
          <w:sz w:val="22"/>
        </w:rPr>
        <w:t>En opinión de los autores</w:t>
      </w:r>
      <w:r w:rsidR="00EA195F">
        <w:rPr>
          <w:rFonts w:asciiTheme="minorHAnsi" w:hAnsiTheme="minorHAnsi" w:cstheme="minorHAnsi"/>
          <w:sz w:val="22"/>
        </w:rPr>
        <w:t>,</w:t>
      </w:r>
      <w:r w:rsidRPr="009026CF">
        <w:rPr>
          <w:rFonts w:asciiTheme="minorHAnsi" w:hAnsiTheme="minorHAnsi" w:cstheme="minorHAnsi"/>
          <w:sz w:val="22"/>
        </w:rPr>
        <w:t xml:space="preserve"> “</w:t>
      </w:r>
      <w:r w:rsidR="00EA195F">
        <w:rPr>
          <w:rFonts w:asciiTheme="minorHAnsi" w:hAnsiTheme="minorHAnsi" w:cstheme="minorHAnsi"/>
          <w:sz w:val="22"/>
        </w:rPr>
        <w:t>l</w:t>
      </w:r>
      <w:r w:rsidRPr="009026CF">
        <w:rPr>
          <w:rFonts w:asciiTheme="minorHAnsi" w:hAnsiTheme="minorHAnsi" w:cstheme="minorHAnsi"/>
          <w:sz w:val="22"/>
        </w:rPr>
        <w:t xml:space="preserve">a disminución de la cantidad de información sobre estos temas sugiere que muchas de las prácticas que llevan a cabo las empresas pueden ser acciones aisladas que no han pasado a formar parte de una política ya consolidada. También es un síntoma de que la gestión del talento sénior </w:t>
      </w:r>
      <w:r w:rsidRPr="00652D23">
        <w:rPr>
          <w:rFonts w:asciiTheme="minorHAnsi" w:hAnsiTheme="minorHAnsi" w:cstheme="minorHAnsi"/>
          <w:b/>
          <w:bCs/>
          <w:sz w:val="22"/>
        </w:rPr>
        <w:t>no constituye hoy por hoy una prioridad</w:t>
      </w:r>
      <w:r w:rsidRPr="009026CF">
        <w:rPr>
          <w:rFonts w:asciiTheme="minorHAnsi" w:hAnsiTheme="minorHAnsi" w:cstheme="minorHAnsi"/>
          <w:sz w:val="22"/>
        </w:rPr>
        <w:t xml:space="preserve"> por parte de la empresa a la hora de informar, a diferencia de lo que ocurre, por ejemplo, con las cuestiones de diversidad de género o funcional que siguen ocupando la mayor atención”.</w:t>
      </w:r>
    </w:p>
    <w:p w14:paraId="64F14230" w14:textId="5B8CA10A" w:rsidR="00F03305" w:rsidRDefault="00F03305" w:rsidP="00C74FBA">
      <w:pPr>
        <w:jc w:val="both"/>
        <w:rPr>
          <w:rFonts w:asciiTheme="minorHAnsi" w:hAnsiTheme="minorHAnsi" w:cstheme="minorHAnsi"/>
          <w:sz w:val="22"/>
        </w:rPr>
      </w:pPr>
      <w:r w:rsidRPr="009026CF">
        <w:rPr>
          <w:rFonts w:asciiTheme="minorHAnsi" w:hAnsiTheme="minorHAnsi" w:cstheme="minorHAnsi"/>
          <w:sz w:val="22"/>
        </w:rPr>
        <w:t>Para Javier Martín Cavanna, director de la Fundación Compromiso y Transparencia</w:t>
      </w:r>
      <w:r w:rsidR="00EA195F">
        <w:rPr>
          <w:rFonts w:asciiTheme="minorHAnsi" w:hAnsiTheme="minorHAnsi" w:cstheme="minorHAnsi"/>
          <w:sz w:val="22"/>
        </w:rPr>
        <w:t xml:space="preserve"> y coautor del informe</w:t>
      </w:r>
      <w:r w:rsidRPr="009026CF">
        <w:rPr>
          <w:rFonts w:asciiTheme="minorHAnsi" w:hAnsiTheme="minorHAnsi" w:cstheme="minorHAnsi"/>
          <w:sz w:val="22"/>
        </w:rPr>
        <w:t>, “</w:t>
      </w:r>
      <w:r w:rsidR="00EA195F">
        <w:rPr>
          <w:rFonts w:asciiTheme="minorHAnsi" w:hAnsiTheme="minorHAnsi" w:cstheme="minorHAnsi"/>
          <w:sz w:val="22"/>
        </w:rPr>
        <w:t>e</w:t>
      </w:r>
      <w:r w:rsidR="00EE24FF" w:rsidRPr="009026CF">
        <w:rPr>
          <w:rFonts w:asciiTheme="minorHAnsi" w:hAnsiTheme="minorHAnsi" w:cstheme="minorHAnsi"/>
          <w:sz w:val="22"/>
        </w:rPr>
        <w:t>s evidente que el colectivo s</w:t>
      </w:r>
      <w:r w:rsidR="00EA195F">
        <w:rPr>
          <w:rFonts w:asciiTheme="minorHAnsi" w:hAnsiTheme="minorHAnsi" w:cstheme="minorHAnsi"/>
          <w:sz w:val="22"/>
        </w:rPr>
        <w:t>é</w:t>
      </w:r>
      <w:r w:rsidR="00EE24FF" w:rsidRPr="009026CF">
        <w:rPr>
          <w:rFonts w:asciiTheme="minorHAnsi" w:hAnsiTheme="minorHAnsi" w:cstheme="minorHAnsi"/>
          <w:sz w:val="22"/>
        </w:rPr>
        <w:t>nior sufre una discriminación de hecho en la empresa. S</w:t>
      </w:r>
      <w:r w:rsidRPr="009026CF">
        <w:rPr>
          <w:rFonts w:asciiTheme="minorHAnsi" w:hAnsiTheme="minorHAnsi" w:cstheme="minorHAnsi"/>
          <w:sz w:val="22"/>
        </w:rPr>
        <w:t>in descartar cu</w:t>
      </w:r>
      <w:r w:rsidR="00582AB1">
        <w:rPr>
          <w:rFonts w:asciiTheme="minorHAnsi" w:hAnsiTheme="minorHAnsi" w:cstheme="minorHAnsi"/>
          <w:sz w:val="22"/>
        </w:rPr>
        <w:t>a</w:t>
      </w:r>
      <w:r w:rsidRPr="009026CF">
        <w:rPr>
          <w:rFonts w:asciiTheme="minorHAnsi" w:hAnsiTheme="minorHAnsi" w:cstheme="minorHAnsi"/>
          <w:sz w:val="22"/>
        </w:rPr>
        <w:t xml:space="preserve">ntas medidas de carácter voluntario puedan impulsarse, nos parece que ha llegado el momento de plantearse una </w:t>
      </w:r>
      <w:r w:rsidRPr="00652D23">
        <w:rPr>
          <w:rFonts w:asciiTheme="minorHAnsi" w:hAnsiTheme="minorHAnsi" w:cstheme="minorHAnsi"/>
          <w:b/>
          <w:bCs/>
          <w:sz w:val="22"/>
        </w:rPr>
        <w:t>iniciativa legislativa en nuestro pa</w:t>
      </w:r>
      <w:r w:rsidR="00EE24FF" w:rsidRPr="00652D23">
        <w:rPr>
          <w:rFonts w:asciiTheme="minorHAnsi" w:hAnsiTheme="minorHAnsi" w:cstheme="minorHAnsi"/>
          <w:b/>
          <w:bCs/>
          <w:sz w:val="22"/>
        </w:rPr>
        <w:t>ís</w:t>
      </w:r>
      <w:r w:rsidR="00EE24FF" w:rsidRPr="009026CF">
        <w:rPr>
          <w:rFonts w:asciiTheme="minorHAnsi" w:hAnsiTheme="minorHAnsi" w:cstheme="minorHAnsi"/>
          <w:sz w:val="22"/>
        </w:rPr>
        <w:t xml:space="preserve"> similar a la estadounidense (</w:t>
      </w:r>
      <w:r w:rsidR="00EE24FF" w:rsidRPr="009026CF">
        <w:rPr>
          <w:rFonts w:asciiTheme="minorHAnsi" w:hAnsiTheme="minorHAnsi" w:cstheme="minorHAnsi"/>
          <w:i/>
          <w:sz w:val="22"/>
        </w:rPr>
        <w:t>Protecting Older Workers Against Discrimination Act</w:t>
      </w:r>
      <w:r w:rsidR="00EE24FF" w:rsidRPr="009026CF">
        <w:rPr>
          <w:rFonts w:asciiTheme="minorHAnsi" w:hAnsiTheme="minorHAnsi" w:cstheme="minorHAnsi"/>
          <w:sz w:val="22"/>
        </w:rPr>
        <w:t xml:space="preserve">) para combatir con medidas concretas la </w:t>
      </w:r>
      <w:r w:rsidR="00EA195F">
        <w:rPr>
          <w:rFonts w:asciiTheme="minorHAnsi" w:hAnsiTheme="minorHAnsi" w:cstheme="minorHAnsi"/>
          <w:sz w:val="22"/>
        </w:rPr>
        <w:t>exclusión</w:t>
      </w:r>
      <w:r w:rsidR="00EE24FF" w:rsidRPr="009026CF">
        <w:rPr>
          <w:rFonts w:asciiTheme="minorHAnsi" w:hAnsiTheme="minorHAnsi" w:cstheme="minorHAnsi"/>
          <w:sz w:val="22"/>
        </w:rPr>
        <w:t xml:space="preserve"> por edad </w:t>
      </w:r>
      <w:r w:rsidRPr="009026CF">
        <w:rPr>
          <w:rFonts w:asciiTheme="minorHAnsi" w:hAnsiTheme="minorHAnsi" w:cstheme="minorHAnsi"/>
          <w:sz w:val="22"/>
        </w:rPr>
        <w:t>que termine con las prácticas de discriminación encubiertas y garantice los derechos del colectivo sénior”.</w:t>
      </w:r>
    </w:p>
    <w:p w14:paraId="168523A0" w14:textId="3057D000" w:rsidR="00EE24FF" w:rsidRPr="009026CF" w:rsidRDefault="0048257D" w:rsidP="00C74FBA">
      <w:pPr>
        <w:jc w:val="both"/>
        <w:rPr>
          <w:rFonts w:asciiTheme="minorHAnsi" w:hAnsiTheme="minorHAnsi" w:cstheme="minorHAnsi"/>
          <w:sz w:val="22"/>
        </w:rPr>
      </w:pPr>
      <w:r w:rsidRPr="009026CF">
        <w:rPr>
          <w:rFonts w:asciiTheme="minorHAnsi" w:hAnsiTheme="minorHAnsi" w:cstheme="minorHAnsi"/>
          <w:sz w:val="22"/>
        </w:rPr>
        <w:t>Además de esta medida</w:t>
      </w:r>
      <w:r w:rsidR="00582AB1">
        <w:rPr>
          <w:rFonts w:asciiTheme="minorHAnsi" w:hAnsiTheme="minorHAnsi" w:cstheme="minorHAnsi"/>
          <w:sz w:val="22"/>
        </w:rPr>
        <w:t>,</w:t>
      </w:r>
      <w:r w:rsidR="00EE24FF" w:rsidRPr="009026CF">
        <w:rPr>
          <w:rFonts w:asciiTheme="minorHAnsi" w:hAnsiTheme="minorHAnsi" w:cstheme="minorHAnsi"/>
          <w:sz w:val="22"/>
        </w:rPr>
        <w:t xml:space="preserve"> el </w:t>
      </w:r>
      <w:r w:rsidR="00EE24FF" w:rsidRPr="009508C0">
        <w:rPr>
          <w:rFonts w:asciiTheme="minorHAnsi" w:hAnsiTheme="minorHAnsi" w:cstheme="minorHAnsi"/>
          <w:b/>
          <w:bCs/>
          <w:sz w:val="22"/>
        </w:rPr>
        <w:t>informe también recomienda</w:t>
      </w:r>
      <w:r w:rsidRPr="009026CF">
        <w:rPr>
          <w:rFonts w:asciiTheme="minorHAnsi" w:hAnsiTheme="minorHAnsi" w:cstheme="minorHAnsi"/>
          <w:sz w:val="22"/>
        </w:rPr>
        <w:t xml:space="preserve"> tres </w:t>
      </w:r>
      <w:r w:rsidR="00582AB1">
        <w:rPr>
          <w:rFonts w:asciiTheme="minorHAnsi" w:hAnsiTheme="minorHAnsi" w:cstheme="minorHAnsi"/>
          <w:sz w:val="22"/>
        </w:rPr>
        <w:t>acciones</w:t>
      </w:r>
      <w:r w:rsidR="00EE24FF" w:rsidRPr="009026CF">
        <w:rPr>
          <w:rFonts w:asciiTheme="minorHAnsi" w:hAnsiTheme="minorHAnsi" w:cstheme="minorHAnsi"/>
          <w:sz w:val="22"/>
        </w:rPr>
        <w:t>:</w:t>
      </w:r>
    </w:p>
    <w:p w14:paraId="0CB47217" w14:textId="6C939284" w:rsidR="00EE24FF" w:rsidRPr="009026CF" w:rsidRDefault="00EE24FF" w:rsidP="0048257D">
      <w:pPr>
        <w:pStyle w:val="Prrafodelista"/>
        <w:numPr>
          <w:ilvl w:val="0"/>
          <w:numId w:val="2"/>
        </w:numPr>
        <w:jc w:val="both"/>
        <w:rPr>
          <w:rFonts w:asciiTheme="minorHAnsi" w:hAnsiTheme="minorHAnsi" w:cstheme="minorHAnsi"/>
          <w:sz w:val="22"/>
        </w:rPr>
      </w:pPr>
      <w:r w:rsidRPr="009026CF">
        <w:rPr>
          <w:rFonts w:asciiTheme="minorHAnsi" w:hAnsiTheme="minorHAnsi" w:cstheme="minorHAnsi"/>
          <w:sz w:val="22"/>
        </w:rPr>
        <w:t xml:space="preserve">Crear una </w:t>
      </w:r>
      <w:r w:rsidRPr="009508C0">
        <w:rPr>
          <w:rFonts w:asciiTheme="minorHAnsi" w:hAnsiTheme="minorHAnsi" w:cstheme="minorHAnsi"/>
          <w:b/>
          <w:bCs/>
          <w:sz w:val="22"/>
        </w:rPr>
        <w:t>asociación</w:t>
      </w:r>
      <w:r w:rsidRPr="009026CF">
        <w:rPr>
          <w:rFonts w:asciiTheme="minorHAnsi" w:hAnsiTheme="minorHAnsi" w:cstheme="minorHAnsi"/>
          <w:sz w:val="22"/>
        </w:rPr>
        <w:t xml:space="preserve"> que defienda los intereses de los empleados s</w:t>
      </w:r>
      <w:r w:rsidR="00EA195F">
        <w:rPr>
          <w:rFonts w:asciiTheme="minorHAnsi" w:hAnsiTheme="minorHAnsi" w:cstheme="minorHAnsi"/>
          <w:sz w:val="22"/>
        </w:rPr>
        <w:t>é</w:t>
      </w:r>
      <w:r w:rsidRPr="009026CF">
        <w:rPr>
          <w:rFonts w:asciiTheme="minorHAnsi" w:hAnsiTheme="minorHAnsi" w:cstheme="minorHAnsi"/>
          <w:sz w:val="22"/>
        </w:rPr>
        <w:t xml:space="preserve">niors. </w:t>
      </w:r>
    </w:p>
    <w:p w14:paraId="0189A258" w14:textId="77777777" w:rsidR="00EE24FF" w:rsidRPr="009026CF" w:rsidRDefault="00EE24FF" w:rsidP="00C74FBA">
      <w:pPr>
        <w:pStyle w:val="Prrafodelista"/>
        <w:numPr>
          <w:ilvl w:val="0"/>
          <w:numId w:val="2"/>
        </w:numPr>
        <w:jc w:val="both"/>
        <w:rPr>
          <w:rFonts w:asciiTheme="minorHAnsi" w:hAnsiTheme="minorHAnsi" w:cstheme="minorHAnsi"/>
          <w:sz w:val="22"/>
        </w:rPr>
      </w:pPr>
      <w:r w:rsidRPr="009026CF">
        <w:rPr>
          <w:rFonts w:asciiTheme="minorHAnsi" w:hAnsiTheme="minorHAnsi" w:cstheme="minorHAnsi"/>
          <w:sz w:val="22"/>
        </w:rPr>
        <w:t xml:space="preserve">Analizar en cada empresa los </w:t>
      </w:r>
      <w:r w:rsidRPr="009508C0">
        <w:rPr>
          <w:rFonts w:asciiTheme="minorHAnsi" w:hAnsiTheme="minorHAnsi" w:cstheme="minorHAnsi"/>
          <w:b/>
          <w:bCs/>
          <w:sz w:val="22"/>
        </w:rPr>
        <w:t>datos segmentados</w:t>
      </w:r>
      <w:r w:rsidRPr="009026CF">
        <w:rPr>
          <w:rFonts w:asciiTheme="minorHAnsi" w:hAnsiTheme="minorHAnsi" w:cstheme="minorHAnsi"/>
          <w:sz w:val="22"/>
        </w:rPr>
        <w:t xml:space="preserve"> por eda</w:t>
      </w:r>
      <w:r w:rsidR="0048257D" w:rsidRPr="009026CF">
        <w:rPr>
          <w:rFonts w:asciiTheme="minorHAnsi" w:hAnsiTheme="minorHAnsi" w:cstheme="minorHAnsi"/>
          <w:sz w:val="22"/>
        </w:rPr>
        <w:t>des</w:t>
      </w:r>
      <w:r w:rsidRPr="009026CF">
        <w:rPr>
          <w:rFonts w:asciiTheme="minorHAnsi" w:hAnsiTheme="minorHAnsi" w:cstheme="minorHAnsi"/>
          <w:sz w:val="22"/>
        </w:rPr>
        <w:t xml:space="preserve"> para identificar si puede haber indicios de discriminación por edad. </w:t>
      </w:r>
    </w:p>
    <w:p w14:paraId="0D6BE059" w14:textId="0550E219" w:rsidR="00EE24FF" w:rsidRPr="009F62EC" w:rsidRDefault="00EE24FF" w:rsidP="00CE1612">
      <w:pPr>
        <w:pStyle w:val="Prrafodelista"/>
        <w:numPr>
          <w:ilvl w:val="0"/>
          <w:numId w:val="2"/>
        </w:numPr>
        <w:jc w:val="both"/>
        <w:rPr>
          <w:rFonts w:asciiTheme="minorHAnsi" w:hAnsiTheme="minorHAnsi" w:cstheme="minorHAnsi"/>
          <w:sz w:val="22"/>
        </w:rPr>
      </w:pPr>
      <w:r w:rsidRPr="009F62EC">
        <w:rPr>
          <w:rFonts w:asciiTheme="minorHAnsi" w:hAnsiTheme="minorHAnsi" w:cstheme="minorHAnsi"/>
          <w:sz w:val="22"/>
        </w:rPr>
        <w:t xml:space="preserve">Desarrollar con los fondos </w:t>
      </w:r>
      <w:r w:rsidRPr="009F62EC">
        <w:rPr>
          <w:rFonts w:asciiTheme="minorHAnsi" w:hAnsiTheme="minorHAnsi" w:cstheme="minorHAnsi"/>
          <w:b/>
          <w:bCs/>
          <w:i/>
          <w:sz w:val="22"/>
        </w:rPr>
        <w:t>Next Generation</w:t>
      </w:r>
      <w:r w:rsidR="00EA195F" w:rsidRPr="009F62EC">
        <w:rPr>
          <w:rFonts w:asciiTheme="minorHAnsi" w:hAnsiTheme="minorHAnsi" w:cstheme="minorHAnsi"/>
          <w:b/>
          <w:bCs/>
          <w:i/>
          <w:sz w:val="22"/>
        </w:rPr>
        <w:t xml:space="preserve"> EU</w:t>
      </w:r>
      <w:r w:rsidRPr="009F62EC">
        <w:rPr>
          <w:rFonts w:asciiTheme="minorHAnsi" w:hAnsiTheme="minorHAnsi" w:cstheme="minorHAnsi"/>
          <w:b/>
          <w:bCs/>
          <w:sz w:val="22"/>
        </w:rPr>
        <w:t xml:space="preserve"> una propuesta colectiva</w:t>
      </w:r>
      <w:r w:rsidRPr="009F62EC">
        <w:rPr>
          <w:rFonts w:asciiTheme="minorHAnsi" w:hAnsiTheme="minorHAnsi" w:cstheme="minorHAnsi"/>
          <w:sz w:val="22"/>
        </w:rPr>
        <w:t xml:space="preserve"> que ayude a aprovechar y prolongar la vida laboral del talento sénior.</w:t>
      </w:r>
    </w:p>
    <w:p w14:paraId="78E04B6B" w14:textId="4FBA51BD" w:rsidR="00EA195F" w:rsidRDefault="00EA195F" w:rsidP="00C74FBA">
      <w:pPr>
        <w:jc w:val="both"/>
        <w:rPr>
          <w:rFonts w:asciiTheme="minorHAnsi" w:hAnsiTheme="minorHAnsi" w:cstheme="minorHAnsi"/>
          <w:sz w:val="22"/>
        </w:rPr>
      </w:pPr>
    </w:p>
    <w:p w14:paraId="15CD2596" w14:textId="77777777" w:rsidR="00EA195F" w:rsidRPr="00EA195F" w:rsidRDefault="00EA195F" w:rsidP="00EA195F">
      <w:pPr>
        <w:jc w:val="both"/>
        <w:rPr>
          <w:rFonts w:asciiTheme="minorHAnsi" w:hAnsiTheme="minorHAnsi" w:cstheme="minorHAnsi"/>
          <w:b/>
          <w:bCs/>
          <w:sz w:val="18"/>
          <w:szCs w:val="18"/>
          <w:u w:val="single"/>
        </w:rPr>
      </w:pPr>
      <w:r w:rsidRPr="00EA195F">
        <w:rPr>
          <w:rFonts w:asciiTheme="minorHAnsi" w:hAnsiTheme="minorHAnsi" w:cstheme="minorHAnsi"/>
          <w:b/>
          <w:bCs/>
          <w:sz w:val="18"/>
          <w:szCs w:val="18"/>
          <w:u w:val="single"/>
        </w:rPr>
        <w:t>Acerca de Fundación Compromiso y Transparencia</w:t>
      </w:r>
    </w:p>
    <w:p w14:paraId="7A27A748" w14:textId="77777777" w:rsidR="00EA195F" w:rsidRPr="00EA195F" w:rsidRDefault="00EA195F" w:rsidP="00EA195F">
      <w:pPr>
        <w:jc w:val="both"/>
        <w:rPr>
          <w:rFonts w:asciiTheme="minorHAnsi" w:hAnsiTheme="minorHAnsi" w:cstheme="minorHAnsi"/>
          <w:sz w:val="18"/>
          <w:szCs w:val="18"/>
        </w:rPr>
      </w:pPr>
      <w:r w:rsidRPr="00EA195F">
        <w:rPr>
          <w:rFonts w:asciiTheme="minorHAnsi" w:hAnsiTheme="minorHAnsi" w:cstheme="minorHAnsi"/>
          <w:sz w:val="18"/>
          <w:szCs w:val="18"/>
        </w:rPr>
        <w:t xml:space="preserve">La Fundación Compromiso y Transparencia se constituyó en el año 2007 por un grupo de profesionales procedentes del mundo de la empresa, de la academia y del sector no lucrativo con la finalidad de fortalecer la confianza de la sociedad en las instituciones y empresas promoviendo la transparencia, el buen gobierno y el compromiso social. Web: www.compromisoytransparencia.com </w:t>
      </w:r>
    </w:p>
    <w:p w14:paraId="5E497369" w14:textId="77777777" w:rsidR="00EA195F" w:rsidRPr="00EA195F" w:rsidRDefault="00EA195F" w:rsidP="00EA195F">
      <w:pPr>
        <w:jc w:val="both"/>
        <w:rPr>
          <w:rFonts w:asciiTheme="minorHAnsi" w:hAnsiTheme="minorHAnsi" w:cstheme="minorHAnsi"/>
          <w:b/>
          <w:bCs/>
          <w:sz w:val="18"/>
          <w:szCs w:val="18"/>
          <w:u w:val="single"/>
        </w:rPr>
      </w:pPr>
      <w:r w:rsidRPr="00EA195F">
        <w:rPr>
          <w:rFonts w:asciiTheme="minorHAnsi" w:hAnsiTheme="minorHAnsi" w:cstheme="minorHAnsi"/>
          <w:b/>
          <w:bCs/>
          <w:sz w:val="18"/>
          <w:szCs w:val="18"/>
          <w:u w:val="single"/>
        </w:rPr>
        <w:t xml:space="preserve">Acerca de itwillbe.org </w:t>
      </w:r>
    </w:p>
    <w:p w14:paraId="42DD5F88" w14:textId="77777777" w:rsidR="00EA195F" w:rsidRPr="00EA195F" w:rsidRDefault="00EA195F" w:rsidP="00EA195F">
      <w:pPr>
        <w:jc w:val="both"/>
        <w:rPr>
          <w:rFonts w:asciiTheme="minorHAnsi" w:hAnsiTheme="minorHAnsi" w:cstheme="minorHAnsi"/>
          <w:sz w:val="18"/>
          <w:szCs w:val="18"/>
        </w:rPr>
      </w:pPr>
      <w:r w:rsidRPr="00EA195F">
        <w:rPr>
          <w:rFonts w:asciiTheme="minorHAnsi" w:hAnsiTheme="minorHAnsi" w:cstheme="minorHAnsi"/>
          <w:sz w:val="18"/>
          <w:szCs w:val="18"/>
        </w:rPr>
        <w:t>ONG de innovación social, que colabora en proyectos de cooperación internacional y educación para el desarrollo, aportando eficiencia y mejorando el impacto social. Trabaja desde 2008 por la defensa de los derechos humanos universales, con especial incidencia en la infancia e igualdad de género. Siempre bajo la premisa de la escalabilidad y sostenibilidad de proyecto.</w:t>
      </w:r>
    </w:p>
    <w:p w14:paraId="41A6BCD2" w14:textId="77777777" w:rsidR="00EA195F" w:rsidRPr="00EA195F" w:rsidRDefault="00EA195F" w:rsidP="00EA195F">
      <w:pPr>
        <w:jc w:val="both"/>
        <w:rPr>
          <w:rFonts w:asciiTheme="minorHAnsi" w:hAnsiTheme="minorHAnsi" w:cstheme="minorHAnsi"/>
          <w:b/>
          <w:bCs/>
          <w:sz w:val="18"/>
          <w:szCs w:val="18"/>
          <w:u w:val="single"/>
        </w:rPr>
      </w:pPr>
      <w:r w:rsidRPr="00EA195F">
        <w:rPr>
          <w:rFonts w:asciiTheme="minorHAnsi" w:hAnsiTheme="minorHAnsi" w:cstheme="minorHAnsi"/>
          <w:b/>
          <w:bCs/>
          <w:sz w:val="18"/>
          <w:szCs w:val="18"/>
          <w:u w:val="single"/>
        </w:rPr>
        <w:t xml:space="preserve">Acerca de Fundación Knowdle </w:t>
      </w:r>
    </w:p>
    <w:p w14:paraId="34A6AB04" w14:textId="77777777" w:rsidR="00EA195F" w:rsidRPr="00EA195F" w:rsidRDefault="00EA195F" w:rsidP="00EA195F">
      <w:pPr>
        <w:jc w:val="both"/>
        <w:rPr>
          <w:rFonts w:asciiTheme="minorHAnsi" w:hAnsiTheme="minorHAnsi" w:cstheme="minorHAnsi"/>
          <w:sz w:val="18"/>
          <w:szCs w:val="18"/>
        </w:rPr>
      </w:pPr>
      <w:r w:rsidRPr="00EA195F">
        <w:rPr>
          <w:rFonts w:asciiTheme="minorHAnsi" w:hAnsiTheme="minorHAnsi" w:cstheme="minorHAnsi"/>
          <w:sz w:val="18"/>
          <w:szCs w:val="18"/>
        </w:rPr>
        <w:t>La Fundación Knowdle se centra en el desarrollo de algoritmos y soluciones de Inteligencia Artificial/Colectiva para detectar y aprovechar los datos que se generan en la interacción de los usuarios con contenidos, aplicaciones y servicios digitales. Ello permite conocer y entender su perfil y ofrecerles e inspirarles aquello que realmente quieren o necesitan.</w:t>
      </w:r>
    </w:p>
    <w:p w14:paraId="78FB936A" w14:textId="77777777" w:rsidR="00EA195F" w:rsidRPr="00EA195F" w:rsidRDefault="00EA195F" w:rsidP="00EA195F">
      <w:pPr>
        <w:jc w:val="both"/>
        <w:rPr>
          <w:rFonts w:asciiTheme="minorHAnsi" w:hAnsiTheme="minorHAnsi" w:cstheme="minorHAnsi"/>
          <w:sz w:val="18"/>
          <w:szCs w:val="18"/>
        </w:rPr>
      </w:pPr>
    </w:p>
    <w:p w14:paraId="665336FA" w14:textId="77777777" w:rsidR="00EA195F" w:rsidRPr="00EA195F" w:rsidRDefault="00EA195F" w:rsidP="00EA195F">
      <w:pPr>
        <w:jc w:val="both"/>
        <w:rPr>
          <w:rFonts w:asciiTheme="minorHAnsi" w:hAnsiTheme="minorHAnsi" w:cstheme="minorHAnsi"/>
          <w:sz w:val="18"/>
          <w:szCs w:val="18"/>
        </w:rPr>
      </w:pPr>
      <w:r w:rsidRPr="00EA195F">
        <w:rPr>
          <w:rFonts w:asciiTheme="minorHAnsi" w:hAnsiTheme="minorHAnsi" w:cstheme="minorHAnsi"/>
          <w:sz w:val="18"/>
          <w:szCs w:val="18"/>
        </w:rPr>
        <w:t>Más información</w:t>
      </w:r>
    </w:p>
    <w:p w14:paraId="39DEA1E4" w14:textId="2170FD33" w:rsidR="00EA195F" w:rsidRPr="00EA195F" w:rsidRDefault="00EA195F" w:rsidP="00EA195F">
      <w:pPr>
        <w:jc w:val="both"/>
        <w:rPr>
          <w:rFonts w:asciiTheme="minorHAnsi" w:hAnsiTheme="minorHAnsi" w:cstheme="minorHAnsi"/>
          <w:sz w:val="18"/>
          <w:szCs w:val="18"/>
        </w:rPr>
      </w:pPr>
      <w:r w:rsidRPr="00EA195F">
        <w:rPr>
          <w:rFonts w:asciiTheme="minorHAnsi" w:hAnsiTheme="minorHAnsi" w:cstheme="minorHAnsi"/>
          <w:sz w:val="18"/>
          <w:szCs w:val="18"/>
        </w:rPr>
        <w:t>Esther Barrio / ebarrio@compromisoempresarial.com / Tfno: 650 38 23 35</w:t>
      </w:r>
    </w:p>
    <w:sectPr w:rsidR="00EA195F" w:rsidRPr="00EA195F">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9FBFF" w14:textId="77777777" w:rsidR="003861B4" w:rsidRDefault="003861B4" w:rsidP="00EA195F">
      <w:pPr>
        <w:spacing w:after="0" w:line="240" w:lineRule="auto"/>
      </w:pPr>
      <w:r>
        <w:separator/>
      </w:r>
    </w:p>
  </w:endnote>
  <w:endnote w:type="continuationSeparator" w:id="0">
    <w:p w14:paraId="1A127C89" w14:textId="77777777" w:rsidR="003861B4" w:rsidRDefault="003861B4" w:rsidP="00EA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BE70C" w14:textId="77777777" w:rsidR="003861B4" w:rsidRDefault="003861B4" w:rsidP="00EA195F">
      <w:pPr>
        <w:spacing w:after="0" w:line="240" w:lineRule="auto"/>
      </w:pPr>
      <w:r>
        <w:separator/>
      </w:r>
    </w:p>
  </w:footnote>
  <w:footnote w:type="continuationSeparator" w:id="0">
    <w:p w14:paraId="7D76914C" w14:textId="77777777" w:rsidR="003861B4" w:rsidRDefault="003861B4" w:rsidP="00EA1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BB0CB" w14:textId="77777777" w:rsidR="00EA195F" w:rsidRPr="00EA195F" w:rsidRDefault="00EA195F" w:rsidP="00EA195F">
    <w:pPr>
      <w:pStyle w:val="Encabezado"/>
      <w:rPr>
        <w:rFonts w:asciiTheme="minorHAnsi" w:hAnsiTheme="minorHAnsi" w:cstheme="minorHAnsi"/>
        <w:b/>
        <w:sz w:val="22"/>
        <w:szCs w:val="20"/>
      </w:rPr>
    </w:pPr>
    <w:r w:rsidRPr="00EA195F">
      <w:rPr>
        <w:rFonts w:asciiTheme="minorHAnsi" w:hAnsiTheme="minorHAnsi" w:cstheme="minorHAnsi"/>
        <w:b/>
        <w:noProof/>
        <w:sz w:val="22"/>
        <w:szCs w:val="20"/>
        <w:lang w:eastAsia="es-ES"/>
      </w:rPr>
      <w:drawing>
        <wp:anchor distT="0" distB="0" distL="114300" distR="114300" simplePos="0" relativeHeight="251659264" behindDoc="0" locked="0" layoutInCell="1" allowOverlap="1" wp14:anchorId="4ACA3EBA" wp14:editId="0C329F5E">
          <wp:simplePos x="0" y="0"/>
          <wp:positionH relativeFrom="column">
            <wp:posOffset>4018280</wp:posOffset>
          </wp:positionH>
          <wp:positionV relativeFrom="paragraph">
            <wp:posOffset>-125095</wp:posOffset>
          </wp:positionV>
          <wp:extent cx="1373505" cy="389255"/>
          <wp:effectExtent l="0" t="0" r="0" b="0"/>
          <wp:wrapSquare wrapText="bothSides"/>
          <wp:docPr id="1" name="Imagen 1" descr="C:\Users\Esther\Desktop\compromiso empresarial\logos\Fundación Compromiso y Transparencia\LogoC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her\Desktop\compromiso empresarial\logos\Fundación Compromiso y Transparencia\LogoCy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4005"/>
                  <a:stretch/>
                </pic:blipFill>
                <pic:spPr bwMode="auto">
                  <a:xfrm>
                    <a:off x="0" y="0"/>
                    <a:ext cx="1373505" cy="389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A195F">
      <w:rPr>
        <w:rFonts w:asciiTheme="minorHAnsi" w:hAnsiTheme="minorHAnsi" w:cstheme="minorHAnsi"/>
        <w:b/>
        <w:sz w:val="22"/>
        <w:szCs w:val="20"/>
      </w:rPr>
      <w:t>NOTA DE PRENSA</w:t>
    </w:r>
  </w:p>
  <w:p w14:paraId="6DBED63F" w14:textId="77777777" w:rsidR="00EA195F" w:rsidRPr="00EA195F" w:rsidRDefault="00EA195F" w:rsidP="00EA19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365A8"/>
    <w:multiLevelType w:val="hybridMultilevel"/>
    <w:tmpl w:val="3E5835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51E6BB8"/>
    <w:multiLevelType w:val="hybridMultilevel"/>
    <w:tmpl w:val="6EEE17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E5558F1"/>
    <w:multiLevelType w:val="hybridMultilevel"/>
    <w:tmpl w:val="C12E9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FBA"/>
    <w:rsid w:val="00062452"/>
    <w:rsid w:val="001455A9"/>
    <w:rsid w:val="003348F4"/>
    <w:rsid w:val="003861B4"/>
    <w:rsid w:val="00392F38"/>
    <w:rsid w:val="003D2804"/>
    <w:rsid w:val="0045107A"/>
    <w:rsid w:val="0048257D"/>
    <w:rsid w:val="00493421"/>
    <w:rsid w:val="004D7907"/>
    <w:rsid w:val="00510E6F"/>
    <w:rsid w:val="005603E8"/>
    <w:rsid w:val="005777D2"/>
    <w:rsid w:val="00582AB1"/>
    <w:rsid w:val="005D7998"/>
    <w:rsid w:val="00652D23"/>
    <w:rsid w:val="007A16F5"/>
    <w:rsid w:val="009026CF"/>
    <w:rsid w:val="009201A9"/>
    <w:rsid w:val="009508C0"/>
    <w:rsid w:val="00994905"/>
    <w:rsid w:val="00997521"/>
    <w:rsid w:val="009F62EC"/>
    <w:rsid w:val="00A1675B"/>
    <w:rsid w:val="00A308B9"/>
    <w:rsid w:val="00AC3630"/>
    <w:rsid w:val="00BB27AD"/>
    <w:rsid w:val="00C74FBA"/>
    <w:rsid w:val="00D02644"/>
    <w:rsid w:val="00DF4BEC"/>
    <w:rsid w:val="00E66C82"/>
    <w:rsid w:val="00E803EE"/>
    <w:rsid w:val="00EA195F"/>
    <w:rsid w:val="00EE24FF"/>
    <w:rsid w:val="00F033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3E51D"/>
  <w15:chartTrackingRefBased/>
  <w15:docId w15:val="{9032FE20-E9E1-4345-9BB7-446527FE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4FBA"/>
    <w:pPr>
      <w:ind w:left="720"/>
      <w:contextualSpacing/>
    </w:pPr>
  </w:style>
  <w:style w:type="paragraph" w:styleId="Encabezado">
    <w:name w:val="header"/>
    <w:basedOn w:val="Normal"/>
    <w:link w:val="EncabezadoCar"/>
    <w:uiPriority w:val="99"/>
    <w:unhideWhenUsed/>
    <w:rsid w:val="00EA19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A195F"/>
  </w:style>
  <w:style w:type="paragraph" w:styleId="Piedepgina">
    <w:name w:val="footer"/>
    <w:basedOn w:val="Normal"/>
    <w:link w:val="PiedepginaCar"/>
    <w:uiPriority w:val="99"/>
    <w:unhideWhenUsed/>
    <w:rsid w:val="00EA19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A195F"/>
  </w:style>
  <w:style w:type="character" w:styleId="Hipervnculo">
    <w:name w:val="Hyperlink"/>
    <w:basedOn w:val="Fuentedeprrafopredeter"/>
    <w:uiPriority w:val="99"/>
    <w:unhideWhenUsed/>
    <w:rsid w:val="009508C0"/>
    <w:rPr>
      <w:color w:val="0563C1" w:themeColor="hyperlink"/>
      <w:u w:val="single"/>
    </w:rPr>
  </w:style>
  <w:style w:type="character" w:styleId="Mencinsinresolver">
    <w:name w:val="Unresolved Mention"/>
    <w:basedOn w:val="Fuentedeprrafopredeter"/>
    <w:uiPriority w:val="99"/>
    <w:semiHidden/>
    <w:unhideWhenUsed/>
    <w:rsid w:val="00950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62115">
      <w:bodyDiv w:val="1"/>
      <w:marLeft w:val="0"/>
      <w:marRight w:val="0"/>
      <w:marTop w:val="0"/>
      <w:marBottom w:val="0"/>
      <w:divBdr>
        <w:top w:val="none" w:sz="0" w:space="0" w:color="auto"/>
        <w:left w:val="none" w:sz="0" w:space="0" w:color="auto"/>
        <w:bottom w:val="none" w:sz="0" w:space="0" w:color="auto"/>
        <w:right w:val="none" w:sz="0" w:space="0" w:color="auto"/>
      </w:divBdr>
    </w:div>
    <w:div w:id="367754110">
      <w:bodyDiv w:val="1"/>
      <w:marLeft w:val="0"/>
      <w:marRight w:val="0"/>
      <w:marTop w:val="0"/>
      <w:marBottom w:val="0"/>
      <w:divBdr>
        <w:top w:val="none" w:sz="0" w:space="0" w:color="auto"/>
        <w:left w:val="none" w:sz="0" w:space="0" w:color="auto"/>
        <w:bottom w:val="none" w:sz="0" w:space="0" w:color="auto"/>
        <w:right w:val="none" w:sz="0" w:space="0" w:color="auto"/>
      </w:divBdr>
    </w:div>
    <w:div w:id="1218778545">
      <w:bodyDiv w:val="1"/>
      <w:marLeft w:val="0"/>
      <w:marRight w:val="0"/>
      <w:marTop w:val="0"/>
      <w:marBottom w:val="0"/>
      <w:divBdr>
        <w:top w:val="none" w:sz="0" w:space="0" w:color="auto"/>
        <w:left w:val="none" w:sz="0" w:space="0" w:color="auto"/>
        <w:bottom w:val="none" w:sz="0" w:space="0" w:color="auto"/>
        <w:right w:val="none" w:sz="0" w:space="0" w:color="auto"/>
      </w:divBdr>
    </w:div>
    <w:div w:id="1701397959">
      <w:bodyDiv w:val="1"/>
      <w:marLeft w:val="0"/>
      <w:marRight w:val="0"/>
      <w:marTop w:val="0"/>
      <w:marBottom w:val="0"/>
      <w:divBdr>
        <w:top w:val="none" w:sz="0" w:space="0" w:color="auto"/>
        <w:left w:val="none" w:sz="0" w:space="0" w:color="auto"/>
        <w:bottom w:val="none" w:sz="0" w:space="0" w:color="auto"/>
        <w:right w:val="none" w:sz="0" w:space="0" w:color="auto"/>
      </w:divBdr>
    </w:div>
    <w:div w:id="197001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romisoytransparencia.com/" TargetMode="External"/><Relationship Id="rId3" Type="http://schemas.openxmlformats.org/officeDocument/2006/relationships/settings" Target="settings.xml"/><Relationship Id="rId7" Type="http://schemas.openxmlformats.org/officeDocument/2006/relationships/hyperlink" Target="https://www.compromisoytransparencia.com/informes/carrera-y-talento-senior-2020-informe-transparencia-buen-gobierno-gestion-talento-senior-empresas-ibex-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1160</Words>
  <Characters>6386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Esther Barrio Medina</cp:lastModifiedBy>
  <cp:revision>4</cp:revision>
  <dcterms:created xsi:type="dcterms:W3CDTF">2021-03-10T11:15:00Z</dcterms:created>
  <dcterms:modified xsi:type="dcterms:W3CDTF">2021-03-11T11:44:00Z</dcterms:modified>
</cp:coreProperties>
</file>