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A090" w14:textId="23F4345A" w:rsidR="001D77CF" w:rsidRDefault="001D77CF" w:rsidP="001D77CF">
      <w:r>
        <w:t>Según el informe ‘</w:t>
      </w:r>
      <w:r w:rsidRPr="001D77CF">
        <w:rPr>
          <w:i/>
          <w:iCs/>
        </w:rPr>
        <w:t>Contribución y transparencia de las multinacionales extranjeras en España</w:t>
      </w:r>
      <w:r w:rsidR="008A57E7">
        <w:rPr>
          <w:i/>
          <w:iCs/>
        </w:rPr>
        <w:t>’</w:t>
      </w:r>
    </w:p>
    <w:p w14:paraId="7BE7D044" w14:textId="41AEB632" w:rsidR="001D77CF" w:rsidRDefault="0094581C" w:rsidP="001D77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Leroy </w:t>
      </w:r>
      <w:proofErr w:type="spellStart"/>
      <w:r>
        <w:rPr>
          <w:b/>
          <w:bCs/>
          <w:sz w:val="28"/>
          <w:szCs w:val="28"/>
        </w:rPr>
        <w:t>Merlin</w:t>
      </w:r>
      <w:proofErr w:type="spellEnd"/>
      <w:r>
        <w:rPr>
          <w:b/>
          <w:bCs/>
          <w:sz w:val="28"/>
          <w:szCs w:val="28"/>
        </w:rPr>
        <w:t>,</w:t>
      </w:r>
      <w:r w:rsidR="001D77CF" w:rsidRPr="00B520C8">
        <w:rPr>
          <w:b/>
          <w:bCs/>
          <w:sz w:val="28"/>
          <w:szCs w:val="28"/>
        </w:rPr>
        <w:t xml:space="preserve"> Vodafone</w:t>
      </w:r>
      <w:r>
        <w:rPr>
          <w:b/>
          <w:bCs/>
          <w:sz w:val="28"/>
          <w:szCs w:val="28"/>
        </w:rPr>
        <w:t xml:space="preserve"> </w:t>
      </w:r>
      <w:r w:rsidRPr="00907E9B">
        <w:rPr>
          <w:b/>
          <w:bCs/>
          <w:sz w:val="28"/>
          <w:szCs w:val="28"/>
        </w:rPr>
        <w:t>y Heineken, únicas multinacionales extranjeras que</w:t>
      </w:r>
      <w:r w:rsidR="001D77CF" w:rsidRPr="00907E9B">
        <w:rPr>
          <w:b/>
          <w:bCs/>
          <w:sz w:val="28"/>
          <w:szCs w:val="28"/>
        </w:rPr>
        <w:t xml:space="preserve"> explican </w:t>
      </w:r>
      <w:r w:rsidR="001D77CF" w:rsidRPr="00B520C8">
        <w:rPr>
          <w:b/>
          <w:bCs/>
          <w:sz w:val="28"/>
          <w:szCs w:val="28"/>
        </w:rPr>
        <w:t xml:space="preserve">su contribución </w:t>
      </w:r>
      <w:r w:rsidR="008A57E7">
        <w:rPr>
          <w:b/>
          <w:bCs/>
          <w:sz w:val="28"/>
          <w:szCs w:val="28"/>
        </w:rPr>
        <w:t xml:space="preserve">social y económica </w:t>
      </w:r>
      <w:r w:rsidR="001D77CF" w:rsidRPr="00B520C8">
        <w:rPr>
          <w:b/>
          <w:bCs/>
          <w:sz w:val="28"/>
          <w:szCs w:val="28"/>
        </w:rPr>
        <w:t>en España</w:t>
      </w:r>
    </w:p>
    <w:p w14:paraId="6624EFF5" w14:textId="592198A6" w:rsidR="008A57E7" w:rsidRDefault="008A57E7" w:rsidP="008A57E7">
      <w:pPr>
        <w:pStyle w:val="Prrafodelista"/>
        <w:numPr>
          <w:ilvl w:val="0"/>
          <w:numId w:val="1"/>
        </w:numPr>
        <w:rPr>
          <w:i/>
          <w:iCs/>
        </w:rPr>
      </w:pPr>
      <w:r w:rsidRPr="008A57E7">
        <w:rPr>
          <w:i/>
          <w:iCs/>
        </w:rPr>
        <w:t xml:space="preserve">Solo tres empresas alcanzan la categoría de </w:t>
      </w:r>
      <w:r>
        <w:rPr>
          <w:i/>
          <w:iCs/>
        </w:rPr>
        <w:t>‘</w:t>
      </w:r>
      <w:r w:rsidRPr="008A57E7">
        <w:rPr>
          <w:i/>
          <w:iCs/>
        </w:rPr>
        <w:t>transparentes</w:t>
      </w:r>
      <w:r>
        <w:rPr>
          <w:i/>
          <w:iCs/>
        </w:rPr>
        <w:t>’ y cinco la de ‘translúcidas’</w:t>
      </w:r>
      <w:r w:rsidRPr="008A57E7">
        <w:rPr>
          <w:i/>
          <w:iCs/>
        </w:rPr>
        <w:t xml:space="preserve">, siendo la mayoría </w:t>
      </w:r>
      <w:r>
        <w:rPr>
          <w:i/>
          <w:iCs/>
        </w:rPr>
        <w:t>‘</w:t>
      </w:r>
      <w:r w:rsidRPr="008A57E7">
        <w:rPr>
          <w:i/>
          <w:iCs/>
        </w:rPr>
        <w:t>opacas</w:t>
      </w:r>
      <w:r>
        <w:rPr>
          <w:i/>
          <w:iCs/>
        </w:rPr>
        <w:t>’</w:t>
      </w:r>
      <w:r w:rsidRPr="008A57E7">
        <w:rPr>
          <w:i/>
          <w:iCs/>
        </w:rPr>
        <w:t xml:space="preserve"> (77%)</w:t>
      </w:r>
    </w:p>
    <w:p w14:paraId="2ABBBD60" w14:textId="27C62A3E" w:rsidR="008A57E7" w:rsidRDefault="008A57E7" w:rsidP="008A57E7">
      <w:pPr>
        <w:pStyle w:val="Prrafodelist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16 multinacionales no aportan ninguna información sobre su impacto social y económico en España</w:t>
      </w:r>
    </w:p>
    <w:p w14:paraId="3A07B78F" w14:textId="32CE117C" w:rsidR="008A57E7" w:rsidRPr="008A57E7" w:rsidRDefault="008A57E7" w:rsidP="008A57E7">
      <w:pPr>
        <w:pStyle w:val="Prrafodelista"/>
        <w:numPr>
          <w:ilvl w:val="0"/>
          <w:numId w:val="1"/>
        </w:numPr>
        <w:rPr>
          <w:i/>
          <w:iCs/>
        </w:rPr>
      </w:pPr>
      <w:r w:rsidRPr="008A57E7">
        <w:rPr>
          <w:i/>
          <w:iCs/>
        </w:rPr>
        <w:t xml:space="preserve">El informe denuncia que la mayoría de las empresas multinacionales no </w:t>
      </w:r>
      <w:r>
        <w:rPr>
          <w:i/>
          <w:iCs/>
        </w:rPr>
        <w:t>cumplen con la ley de</w:t>
      </w:r>
      <w:r w:rsidRPr="008A57E7">
        <w:rPr>
          <w:i/>
          <w:iCs/>
        </w:rPr>
        <w:t xml:space="preserve"> información no financiera y </w:t>
      </w:r>
      <w:r>
        <w:rPr>
          <w:i/>
          <w:iCs/>
        </w:rPr>
        <w:t xml:space="preserve">de </w:t>
      </w:r>
      <w:r w:rsidRPr="008A57E7">
        <w:rPr>
          <w:i/>
          <w:iCs/>
        </w:rPr>
        <w:t>diversidad</w:t>
      </w:r>
    </w:p>
    <w:p w14:paraId="66BB7BA0" w14:textId="7CD95C8C" w:rsidR="001D77CF" w:rsidRDefault="001D77CF" w:rsidP="001D77CF">
      <w:r w:rsidRPr="00B520C8">
        <w:rPr>
          <w:b/>
          <w:bCs/>
        </w:rPr>
        <w:t>Madrid, 1</w:t>
      </w:r>
      <w:r w:rsidR="0072434A">
        <w:rPr>
          <w:b/>
          <w:bCs/>
        </w:rPr>
        <w:t>7</w:t>
      </w:r>
      <w:r w:rsidRPr="00B520C8">
        <w:rPr>
          <w:b/>
          <w:bCs/>
        </w:rPr>
        <w:t xml:space="preserve"> de septiembre de 2020.</w:t>
      </w:r>
      <w:r>
        <w:t xml:space="preserve"> La francesa </w:t>
      </w:r>
      <w:r w:rsidRPr="008A57E7">
        <w:rPr>
          <w:b/>
          <w:bCs/>
        </w:rPr>
        <w:t xml:space="preserve">Leroy </w:t>
      </w:r>
      <w:proofErr w:type="spellStart"/>
      <w:r w:rsidRPr="008A57E7">
        <w:rPr>
          <w:b/>
          <w:bCs/>
        </w:rPr>
        <w:t>Merlin</w:t>
      </w:r>
      <w:proofErr w:type="spellEnd"/>
      <w:r w:rsidRPr="008A57E7">
        <w:rPr>
          <w:b/>
          <w:bCs/>
        </w:rPr>
        <w:t xml:space="preserve"> </w:t>
      </w:r>
      <w:r w:rsidRPr="008A57E7">
        <w:t xml:space="preserve">y </w:t>
      </w:r>
      <w:r>
        <w:t xml:space="preserve">la británica </w:t>
      </w:r>
      <w:r w:rsidRPr="008A57E7">
        <w:rPr>
          <w:b/>
          <w:bCs/>
        </w:rPr>
        <w:t>Vodafone</w:t>
      </w:r>
      <w:r>
        <w:t xml:space="preserve"> son las dos multinacionales que mejor rinden cuentas de su contribución en España, seguida</w:t>
      </w:r>
      <w:r w:rsidR="00B520C8">
        <w:t>s</w:t>
      </w:r>
      <w:r>
        <w:t xml:space="preserve">, con tan solo un punto </w:t>
      </w:r>
      <w:r w:rsidR="00B520C8">
        <w:t>de diferencia</w:t>
      </w:r>
      <w:r>
        <w:t xml:space="preserve"> por la cervecera holandesa </w:t>
      </w:r>
      <w:r w:rsidRPr="008A57E7">
        <w:rPr>
          <w:b/>
          <w:bCs/>
        </w:rPr>
        <w:t>Heineken</w:t>
      </w:r>
      <w:r>
        <w:t>.</w:t>
      </w:r>
    </w:p>
    <w:p w14:paraId="072DCB40" w14:textId="53B0E11A" w:rsidR="001D77CF" w:rsidRDefault="001D77CF" w:rsidP="001D77CF">
      <w:r>
        <w:t xml:space="preserve">Así lo desprende el informe </w:t>
      </w:r>
      <w:r w:rsidRPr="001D77CF">
        <w:rPr>
          <w:i/>
          <w:iCs/>
        </w:rPr>
        <w:t>Contribución y transparencia de las multinacionales extranjeras en España</w:t>
      </w:r>
      <w:r>
        <w:rPr>
          <w:i/>
          <w:iCs/>
        </w:rPr>
        <w:t xml:space="preserve"> 2019</w:t>
      </w:r>
      <w:r w:rsidR="00B520C8">
        <w:rPr>
          <w:i/>
          <w:iCs/>
        </w:rPr>
        <w:t>,</w:t>
      </w:r>
      <w:r>
        <w:t xml:space="preserve"> </w:t>
      </w:r>
      <w:r w:rsidR="00B520C8">
        <w:t xml:space="preserve">elaborado por la Fundación Compromiso y Transparencia (disponible en </w:t>
      </w:r>
      <w:hyperlink r:id="rId7" w:history="1">
        <w:r w:rsidR="00B520C8" w:rsidRPr="002B629E">
          <w:rPr>
            <w:rStyle w:val="Hipervnculo"/>
          </w:rPr>
          <w:t>www.compromisoytransparencia.com</w:t>
        </w:r>
      </w:hyperlink>
      <w:r w:rsidR="00B520C8">
        <w:t xml:space="preserve">), que examina la información </w:t>
      </w:r>
      <w:r w:rsidR="00776D61">
        <w:t xml:space="preserve">voluntaria </w:t>
      </w:r>
      <w:r w:rsidR="00B520C8">
        <w:t xml:space="preserve">que publican en sus páginas web 35 </w:t>
      </w:r>
      <w:r w:rsidR="00776D61">
        <w:t>grandes</w:t>
      </w:r>
      <w:r w:rsidR="00B520C8">
        <w:t xml:space="preserve"> multinacionales que operan en nuestro país sobre el </w:t>
      </w:r>
      <w:r>
        <w:t>empleo</w:t>
      </w:r>
      <w:r w:rsidR="00B520C8">
        <w:t xml:space="preserve"> que generan</w:t>
      </w:r>
      <w:r>
        <w:t xml:space="preserve">, </w:t>
      </w:r>
      <w:r w:rsidR="00B520C8">
        <w:t xml:space="preserve">los </w:t>
      </w:r>
      <w:r>
        <w:t xml:space="preserve">proveedores locales, </w:t>
      </w:r>
      <w:r w:rsidR="00B520C8">
        <w:t xml:space="preserve">las </w:t>
      </w:r>
      <w:r>
        <w:t>inversiones</w:t>
      </w:r>
      <w:r w:rsidR="00B520C8">
        <w:t xml:space="preserve"> que realizan y su factura fiscal.</w:t>
      </w:r>
    </w:p>
    <w:p w14:paraId="4C4CA43B" w14:textId="04B9D614" w:rsidR="001D77CF" w:rsidRDefault="00B520C8" w:rsidP="004420A1">
      <w:r>
        <w:t xml:space="preserve">De este modo, solo un 9% alcanza la categoría de </w:t>
      </w:r>
      <w:r w:rsidRPr="004420A1">
        <w:rPr>
          <w:i/>
          <w:iCs/>
        </w:rPr>
        <w:t>transparente</w:t>
      </w:r>
      <w:r>
        <w:t xml:space="preserve"> y un 14% </w:t>
      </w:r>
      <w:r w:rsidR="004420A1">
        <w:t>es catalogado como</w:t>
      </w:r>
      <w:r>
        <w:t xml:space="preserve"> </w:t>
      </w:r>
      <w:r w:rsidRPr="004420A1">
        <w:rPr>
          <w:i/>
          <w:iCs/>
        </w:rPr>
        <w:t>translúcid</w:t>
      </w:r>
      <w:r w:rsidR="004420A1" w:rsidRPr="004420A1">
        <w:rPr>
          <w:i/>
          <w:iCs/>
        </w:rPr>
        <w:t>o</w:t>
      </w:r>
      <w:r w:rsidR="004420A1">
        <w:t xml:space="preserve"> </w:t>
      </w:r>
      <w:r w:rsidR="004420A1" w:rsidRPr="008A57E7">
        <w:rPr>
          <w:b/>
          <w:bCs/>
        </w:rPr>
        <w:t>(Carrefour, Samsung, Nestlé, Altadis y Amazon).</w:t>
      </w:r>
      <w:r w:rsidR="004420A1">
        <w:t xml:space="preserve"> Completan el ranking</w:t>
      </w:r>
      <w:r>
        <w:t xml:space="preserve"> una mayoría de empresas </w:t>
      </w:r>
      <w:r w:rsidR="004420A1">
        <w:t>clasificadas</w:t>
      </w:r>
      <w:r>
        <w:t xml:space="preserve"> como </w:t>
      </w:r>
      <w:r w:rsidRPr="004420A1">
        <w:rPr>
          <w:i/>
          <w:iCs/>
        </w:rPr>
        <w:t>opacas</w:t>
      </w:r>
      <w:r w:rsidR="008A57E7">
        <w:rPr>
          <w:i/>
          <w:iCs/>
        </w:rPr>
        <w:t xml:space="preserve"> </w:t>
      </w:r>
      <w:r w:rsidR="008A57E7">
        <w:t>(77%)</w:t>
      </w:r>
      <w:r>
        <w:t>.</w:t>
      </w:r>
    </w:p>
    <w:p w14:paraId="4A3D8099" w14:textId="4C40DF71" w:rsidR="009638CB" w:rsidRDefault="000004B5" w:rsidP="001D77CF">
      <w:r>
        <w:t>El análisis d</w:t>
      </w:r>
      <w:r w:rsidR="00B520C8">
        <w:t>estaca que 16 compañías no aport</w:t>
      </w:r>
      <w:r w:rsidR="008A57E7">
        <w:t>a</w:t>
      </w:r>
      <w:r w:rsidR="00B520C8">
        <w:t xml:space="preserve">n ningún tipo de información sobre el impacto social </w:t>
      </w:r>
      <w:r>
        <w:t xml:space="preserve">y económico </w:t>
      </w:r>
      <w:r w:rsidR="00B520C8">
        <w:t>que tienen en el país donde operan, en este caso, España. Entre e</w:t>
      </w:r>
      <w:r w:rsidR="004420A1">
        <w:t>ll</w:t>
      </w:r>
      <w:r w:rsidR="00B520C8">
        <w:t xml:space="preserve">as se encuentran </w:t>
      </w:r>
      <w:r w:rsidR="004420A1">
        <w:t xml:space="preserve">gigantes como </w:t>
      </w:r>
      <w:r w:rsidR="004420A1" w:rsidRPr="008A57E7">
        <w:rPr>
          <w:b/>
          <w:bCs/>
        </w:rPr>
        <w:t>Apple, Google, Coca</w:t>
      </w:r>
      <w:r w:rsidR="00701D08">
        <w:rPr>
          <w:b/>
          <w:bCs/>
        </w:rPr>
        <w:t>-</w:t>
      </w:r>
      <w:r w:rsidR="004420A1" w:rsidRPr="008A57E7">
        <w:rPr>
          <w:b/>
          <w:bCs/>
        </w:rPr>
        <w:t>Cola o McDonald</w:t>
      </w:r>
      <w:r w:rsidR="008A57E7">
        <w:rPr>
          <w:b/>
          <w:bCs/>
        </w:rPr>
        <w:t>’s</w:t>
      </w:r>
      <w:r w:rsidR="004420A1" w:rsidRPr="008A57E7">
        <w:rPr>
          <w:b/>
          <w:bCs/>
        </w:rPr>
        <w:t>.</w:t>
      </w:r>
      <w:r w:rsidR="004420A1">
        <w:t xml:space="preserve"> </w:t>
      </w:r>
    </w:p>
    <w:p w14:paraId="25AB46E3" w14:textId="0417740B" w:rsidR="004420A1" w:rsidRPr="005E11CF" w:rsidRDefault="005E11CF" w:rsidP="001D77CF">
      <w:pPr>
        <w:rPr>
          <w:b/>
          <w:bCs/>
        </w:rPr>
      </w:pPr>
      <w:r>
        <w:rPr>
          <w:b/>
          <w:bCs/>
        </w:rPr>
        <w:t xml:space="preserve">El </w:t>
      </w:r>
      <w:r w:rsidR="008A57E7">
        <w:rPr>
          <w:b/>
          <w:bCs/>
        </w:rPr>
        <w:t>(in)</w:t>
      </w:r>
      <w:r>
        <w:rPr>
          <w:b/>
          <w:bCs/>
        </w:rPr>
        <w:t>cumplimiento p</w:t>
      </w:r>
      <w:r w:rsidR="004420A1" w:rsidRPr="005E11CF">
        <w:rPr>
          <w:b/>
          <w:bCs/>
        </w:rPr>
        <w:t>or indicadores</w:t>
      </w:r>
    </w:p>
    <w:p w14:paraId="63B46D2F" w14:textId="7C79CA76" w:rsidR="000004B5" w:rsidRDefault="00BD6356" w:rsidP="000004B5">
      <w:r>
        <w:t xml:space="preserve">Atendiendo a los cinco indicadores que analiza el informe, </w:t>
      </w:r>
      <w:r w:rsidR="000004B5">
        <w:t xml:space="preserve">es la información referente al </w:t>
      </w:r>
      <w:r w:rsidR="000004B5" w:rsidRPr="008A57E7">
        <w:rPr>
          <w:b/>
          <w:bCs/>
        </w:rPr>
        <w:t>número de empleados locales</w:t>
      </w:r>
      <w:r w:rsidR="000004B5">
        <w:t xml:space="preserve"> la más publicada entre las multinacionales. Un 20% ofrece la información detallada (empleos directos e indirectos, edad, sexo o categoría, empleo fijo o temporal, etc.) y un 23% publica solo el dato sobre el número de trabajadores empleados en sus filas.</w:t>
      </w:r>
    </w:p>
    <w:p w14:paraId="3D993247" w14:textId="5FF45867" w:rsidR="004420A1" w:rsidRDefault="000004B5" w:rsidP="001D77CF">
      <w:r>
        <w:t xml:space="preserve">De manera exhaustiva, </w:t>
      </w:r>
      <w:r w:rsidR="00BD6356">
        <w:t xml:space="preserve">la información que </w:t>
      </w:r>
      <w:r>
        <w:t xml:space="preserve">mejor </w:t>
      </w:r>
      <w:r w:rsidR="00BD6356">
        <w:t xml:space="preserve">hacen pública las multinacionales es la referente a su </w:t>
      </w:r>
      <w:r w:rsidR="00BD6356" w:rsidRPr="008A57E7">
        <w:rPr>
          <w:b/>
          <w:bCs/>
        </w:rPr>
        <w:t>política fiscal,</w:t>
      </w:r>
      <w:r w:rsidR="00BD6356">
        <w:t xml:space="preserve"> con un 29% de cumplimiento</w:t>
      </w:r>
      <w:r>
        <w:t xml:space="preserve"> total</w:t>
      </w:r>
      <w:r w:rsidR="00BD6356">
        <w:t xml:space="preserve">. En este sentido destaca Leroy </w:t>
      </w:r>
      <w:proofErr w:type="spellStart"/>
      <w:r w:rsidR="00BD6356">
        <w:t>Merlin</w:t>
      </w:r>
      <w:proofErr w:type="spellEnd"/>
      <w:r w:rsidR="00BD6356">
        <w:t xml:space="preserve"> por ser la única </w:t>
      </w:r>
      <w:r w:rsidR="00BD6356" w:rsidRPr="00BD6356">
        <w:t xml:space="preserve">que </w:t>
      </w:r>
      <w:r w:rsidR="00BD6356">
        <w:t xml:space="preserve">cuenta con </w:t>
      </w:r>
      <w:r w:rsidR="00BD6356" w:rsidRPr="00BD6356">
        <w:t xml:space="preserve">una </w:t>
      </w:r>
      <w:r>
        <w:t>p</w:t>
      </w:r>
      <w:r w:rsidR="00BD6356" w:rsidRPr="00BD6356">
        <w:t xml:space="preserve">olítica </w:t>
      </w:r>
      <w:r>
        <w:t>f</w:t>
      </w:r>
      <w:r w:rsidR="00BD6356" w:rsidRPr="00BD6356">
        <w:t>iscal específica para España</w:t>
      </w:r>
      <w:r w:rsidR="00BD6356">
        <w:t>.</w:t>
      </w:r>
    </w:p>
    <w:p w14:paraId="67C67A82" w14:textId="00BA0E1A" w:rsidR="00BD6356" w:rsidRDefault="00BD6356" w:rsidP="00BD6356">
      <w:r>
        <w:t xml:space="preserve">Con </w:t>
      </w:r>
      <w:r w:rsidR="005E11CF">
        <w:t xml:space="preserve">similares </w:t>
      </w:r>
      <w:r>
        <w:t>porcentajes de cumplimiento</w:t>
      </w:r>
      <w:r w:rsidR="008A57E7">
        <w:t>,</w:t>
      </w:r>
      <w:r>
        <w:t xml:space="preserve"> las multinacionales informan </w:t>
      </w:r>
      <w:r w:rsidR="000004B5">
        <w:t xml:space="preserve">poco </w:t>
      </w:r>
      <w:r>
        <w:t xml:space="preserve">sobre sus </w:t>
      </w:r>
      <w:r w:rsidRPr="008A57E7">
        <w:rPr>
          <w:b/>
          <w:bCs/>
        </w:rPr>
        <w:t>proveedores</w:t>
      </w:r>
      <w:r>
        <w:t xml:space="preserve"> (14%), </w:t>
      </w:r>
      <w:r w:rsidRPr="008A57E7">
        <w:rPr>
          <w:b/>
          <w:bCs/>
        </w:rPr>
        <w:t>inversiones</w:t>
      </w:r>
      <w:r>
        <w:t xml:space="preserve"> (11% cumplen correctamente y 6% de manera parcial), y los </w:t>
      </w:r>
      <w:r w:rsidRPr="008A57E7">
        <w:rPr>
          <w:b/>
          <w:bCs/>
        </w:rPr>
        <w:t>impuestos</w:t>
      </w:r>
      <w:r>
        <w:t xml:space="preserve"> pagados en España (14%).</w:t>
      </w:r>
    </w:p>
    <w:p w14:paraId="7CBBBAE8" w14:textId="5F6B5A37" w:rsidR="007E42AE" w:rsidRDefault="007E42AE" w:rsidP="00BD6356">
      <w:r>
        <w:rPr>
          <w:noProof/>
        </w:rPr>
        <w:lastRenderedPageBreak/>
        <w:drawing>
          <wp:inline distT="0" distB="0" distL="0" distR="0" wp14:anchorId="3470D2BD" wp14:editId="329C84D5">
            <wp:extent cx="5400040" cy="273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F3830" w14:textId="5BDCCDBF" w:rsidR="000004B5" w:rsidRPr="000004B5" w:rsidRDefault="000004B5" w:rsidP="00BD6356">
      <w:pPr>
        <w:rPr>
          <w:b/>
          <w:bCs/>
        </w:rPr>
      </w:pPr>
      <w:r w:rsidRPr="000004B5">
        <w:rPr>
          <w:b/>
          <w:bCs/>
        </w:rPr>
        <w:t>La ley de información no financiera y diversidad, ausente</w:t>
      </w:r>
    </w:p>
    <w:p w14:paraId="463DEB7D" w14:textId="22012EFF" w:rsidR="005E11CF" w:rsidRDefault="005E11CF" w:rsidP="005E11CF">
      <w:r>
        <w:t>El informe denuncia que la mayoría de las empresas multinacionales no ha</w:t>
      </w:r>
      <w:r w:rsidR="000004B5">
        <w:t>ya</w:t>
      </w:r>
      <w:r>
        <w:t xml:space="preserve"> publicado el estado de información no financiera y diversidad exigido por la Ley 11/2018, de 28 de diciembre.</w:t>
      </w:r>
    </w:p>
    <w:p w14:paraId="7F44D322" w14:textId="648DC3F4" w:rsidR="005E11CF" w:rsidRDefault="005E11CF" w:rsidP="005E11CF">
      <w:r>
        <w:t>Y s</w:t>
      </w:r>
      <w:r w:rsidR="0094581C">
        <w:t xml:space="preserve">eñala la </w:t>
      </w:r>
      <w:r w:rsidR="0094581C" w:rsidRPr="00907E9B">
        <w:t>opacidad de</w:t>
      </w:r>
      <w:r w:rsidRPr="00907E9B">
        <w:t xml:space="preserve"> las empresas procedentes de </w:t>
      </w:r>
      <w:r w:rsidRPr="00907E9B">
        <w:rPr>
          <w:b/>
          <w:bCs/>
        </w:rPr>
        <w:t>EE.UU. y Alemania</w:t>
      </w:r>
      <w:r w:rsidR="00907E9B">
        <w:rPr>
          <w:b/>
          <w:bCs/>
        </w:rPr>
        <w:t>,</w:t>
      </w:r>
      <w:r w:rsidRPr="00907E9B">
        <w:t xml:space="preserve"> así como</w:t>
      </w:r>
      <w:r w:rsidR="0094581C" w:rsidRPr="00907E9B">
        <w:t xml:space="preserve"> las del</w:t>
      </w:r>
      <w:r w:rsidRPr="00907E9B">
        <w:t xml:space="preserve"> </w:t>
      </w:r>
      <w:r w:rsidRPr="00907E9B">
        <w:rPr>
          <w:b/>
          <w:bCs/>
        </w:rPr>
        <w:t>sector automovilístico,</w:t>
      </w:r>
      <w:r w:rsidRPr="00907E9B">
        <w:t xml:space="preserve"> donde</w:t>
      </w:r>
      <w:r w:rsidR="0094581C" w:rsidRPr="00907E9B">
        <w:t xml:space="preserve"> ninguna de</w:t>
      </w:r>
      <w:r w:rsidRPr="00907E9B">
        <w:t xml:space="preserve"> las cinco </w:t>
      </w:r>
      <w:r w:rsidR="000004B5" w:rsidRPr="00907E9B">
        <w:t>multinacionales</w:t>
      </w:r>
      <w:r w:rsidRPr="00907E9B">
        <w:t xml:space="preserve"> analizadas </w:t>
      </w:r>
      <w:r w:rsidRPr="00907E9B">
        <w:rPr>
          <w:b/>
          <w:bCs/>
        </w:rPr>
        <w:t>(Ford, Nissan, Peugeot, Renault y Volkswagen)</w:t>
      </w:r>
      <w:r w:rsidR="0094581C" w:rsidRPr="00907E9B">
        <w:t xml:space="preserve"> </w:t>
      </w:r>
      <w:r w:rsidRPr="00907E9B">
        <w:t xml:space="preserve">cumplen </w:t>
      </w:r>
      <w:r>
        <w:t>con ningún criterio de evaluación</w:t>
      </w:r>
      <w:r w:rsidR="000004B5">
        <w:t xml:space="preserve"> del informe.</w:t>
      </w:r>
      <w:r>
        <w:t xml:space="preserve"> </w:t>
      </w:r>
    </w:p>
    <w:p w14:paraId="51A61A5A" w14:textId="5F97BC9B" w:rsidR="00B36422" w:rsidRDefault="00B36422" w:rsidP="00B36422">
      <w:r>
        <w:t xml:space="preserve">Finalmente, </w:t>
      </w:r>
      <w:r w:rsidR="008A57E7">
        <w:t>el</w:t>
      </w:r>
      <w:r>
        <w:t xml:space="preserve"> documento lamenta que “la mayoría de las multinacionales extranjeras analizadas sigan sin prestar la debida atención a la conveniencia de comunicar y hacer pública su contribución en España. Aunque este año se han detectado algunas mejoras en determinadas compañías, llama la atención la falta de visión de </w:t>
      </w:r>
      <w:r w:rsidR="000004B5">
        <w:t>sus</w:t>
      </w:r>
      <w:r>
        <w:t xml:space="preserve"> responsables para detectar la trascendencia que tiene justificar la creación de valor social y económico en el país donde operan”.</w:t>
      </w:r>
    </w:p>
    <w:p w14:paraId="5900F02F" w14:textId="77777777" w:rsidR="005E11CF" w:rsidRDefault="005E11CF" w:rsidP="00BD6356"/>
    <w:p w14:paraId="5822B8A9" w14:textId="77777777" w:rsidR="00BD6356" w:rsidRDefault="00BD6356" w:rsidP="00BD6356"/>
    <w:p w14:paraId="5FFAD09B" w14:textId="77777777" w:rsidR="00907E9B" w:rsidRPr="0015723B" w:rsidRDefault="00907E9B" w:rsidP="00907E9B">
      <w:pPr>
        <w:jc w:val="both"/>
        <w:rPr>
          <w:rFonts w:cstheme="minorHAnsi"/>
          <w:b/>
          <w:color w:val="595959"/>
          <w:sz w:val="16"/>
          <w:szCs w:val="16"/>
          <w:u w:val="single"/>
        </w:rPr>
      </w:pPr>
      <w:r w:rsidRPr="0015723B">
        <w:rPr>
          <w:rFonts w:cstheme="minorHAnsi"/>
          <w:b/>
          <w:color w:val="595959"/>
          <w:sz w:val="16"/>
          <w:szCs w:val="16"/>
          <w:u w:val="single"/>
        </w:rPr>
        <w:t>Acerca de Fundación Compromiso y Transparencia</w:t>
      </w:r>
    </w:p>
    <w:p w14:paraId="3421B72E" w14:textId="77777777" w:rsidR="00907E9B" w:rsidRPr="00C51927" w:rsidRDefault="00907E9B" w:rsidP="00907E9B">
      <w:pPr>
        <w:pStyle w:val="NormalWeb"/>
        <w:shd w:val="clear" w:color="auto" w:fill="FFFFFF"/>
        <w:jc w:val="both"/>
        <w:rPr>
          <w:rFonts w:ascii="Calibri" w:hAnsi="Calibri"/>
          <w:color w:val="595959"/>
          <w:sz w:val="16"/>
          <w:szCs w:val="16"/>
        </w:rPr>
      </w:pPr>
      <w:smartTag w:uri="urn:schemas-microsoft-com:office:smarttags" w:element="PersonName">
        <w:smartTagPr>
          <w:attr w:name="ProductID" w:val="La Fundaci￳n Compromiso"/>
        </w:smartTagPr>
        <w:r w:rsidRPr="00C51927">
          <w:rPr>
            <w:rFonts w:ascii="Calibri" w:hAnsi="Calibri"/>
            <w:color w:val="595959"/>
            <w:sz w:val="16"/>
            <w:szCs w:val="16"/>
          </w:rPr>
          <w:t>La Fundación Compromiso</w:t>
        </w:r>
      </w:smartTag>
      <w:r w:rsidRPr="00C51927">
        <w:rPr>
          <w:rFonts w:ascii="Calibri" w:hAnsi="Calibri"/>
          <w:color w:val="595959"/>
          <w:sz w:val="16"/>
          <w:szCs w:val="16"/>
        </w:rPr>
        <w:t xml:space="preserve"> y Transparencia (antes Compromiso Empresarial) se constituyó en el año 2007 por un grupo de profesionales procedentes del mundo de la empresa, de la academia y del sector no lucrativo con la finalidad de </w:t>
      </w:r>
      <w:r>
        <w:rPr>
          <w:rFonts w:ascii="Calibri" w:hAnsi="Calibri"/>
          <w:color w:val="595959"/>
          <w:sz w:val="16"/>
          <w:szCs w:val="16"/>
        </w:rPr>
        <w:t>f</w:t>
      </w:r>
      <w:r w:rsidRPr="002A5A61">
        <w:rPr>
          <w:rFonts w:ascii="Calibri" w:hAnsi="Calibri"/>
          <w:color w:val="595959"/>
          <w:sz w:val="16"/>
          <w:szCs w:val="16"/>
        </w:rPr>
        <w:t>ortalecer la confianza de la sociedad en las instituciones y empresas promoviendo la transparencia, el buen gobierno y el compromiso social</w:t>
      </w:r>
      <w:r w:rsidRPr="00C51927">
        <w:rPr>
          <w:rFonts w:ascii="Calibri" w:hAnsi="Calibri"/>
          <w:color w:val="595959"/>
          <w:sz w:val="16"/>
          <w:szCs w:val="16"/>
        </w:rPr>
        <w:t xml:space="preserve">. Página web </w:t>
      </w:r>
      <w:hyperlink r:id="rId9" w:history="1">
        <w:r w:rsidRPr="00C51927">
          <w:rPr>
            <w:rStyle w:val="Hipervnculo"/>
            <w:rFonts w:ascii="Calibri" w:hAnsi="Calibri"/>
            <w:sz w:val="16"/>
            <w:szCs w:val="16"/>
          </w:rPr>
          <w:t>www.compromisoytransparencia.com</w:t>
        </w:r>
      </w:hyperlink>
      <w:r w:rsidRPr="00C51927">
        <w:rPr>
          <w:rFonts w:ascii="Calibri" w:hAnsi="Calibri"/>
          <w:color w:val="595959"/>
          <w:sz w:val="16"/>
          <w:szCs w:val="16"/>
        </w:rPr>
        <w:t xml:space="preserve"> </w:t>
      </w:r>
    </w:p>
    <w:p w14:paraId="0C7D36A2" w14:textId="77777777" w:rsidR="00907E9B" w:rsidRPr="0015723B" w:rsidRDefault="00907E9B" w:rsidP="00907E9B">
      <w:pPr>
        <w:jc w:val="both"/>
        <w:rPr>
          <w:rFonts w:cstheme="minorHAnsi"/>
          <w:b/>
          <w:color w:val="595959"/>
          <w:sz w:val="16"/>
          <w:szCs w:val="16"/>
          <w:u w:val="single"/>
        </w:rPr>
      </w:pPr>
      <w:r w:rsidRPr="0015723B">
        <w:rPr>
          <w:rFonts w:cstheme="minorHAnsi"/>
          <w:b/>
          <w:color w:val="595959"/>
          <w:sz w:val="16"/>
          <w:szCs w:val="16"/>
          <w:u w:val="single"/>
        </w:rPr>
        <w:t>Más información</w:t>
      </w:r>
    </w:p>
    <w:p w14:paraId="3AA58CF0" w14:textId="77777777" w:rsidR="00907E9B" w:rsidRPr="0015723B" w:rsidRDefault="00907E9B" w:rsidP="00907E9B">
      <w:pPr>
        <w:jc w:val="both"/>
        <w:rPr>
          <w:rFonts w:cstheme="minorHAnsi"/>
        </w:rPr>
      </w:pPr>
      <w:r w:rsidRPr="0015723B">
        <w:rPr>
          <w:rFonts w:cstheme="minorHAnsi"/>
          <w:color w:val="595959"/>
          <w:sz w:val="16"/>
          <w:szCs w:val="16"/>
        </w:rPr>
        <w:t xml:space="preserve">Esther Barrio / Teléfono: 650 38 23 35 / </w:t>
      </w:r>
      <w:hyperlink r:id="rId10" w:history="1">
        <w:r w:rsidRPr="0015723B">
          <w:rPr>
            <w:rStyle w:val="Hipervnculo"/>
            <w:rFonts w:cstheme="minorHAnsi"/>
            <w:color w:val="595959"/>
            <w:sz w:val="16"/>
            <w:szCs w:val="16"/>
          </w:rPr>
          <w:t>ebarrio@compromisoempresarial.com</w:t>
        </w:r>
      </w:hyperlink>
    </w:p>
    <w:p w14:paraId="7E454AE1" w14:textId="77777777" w:rsidR="004420A1" w:rsidRDefault="004420A1" w:rsidP="001D77CF"/>
    <w:sectPr w:rsidR="004420A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7442" w14:textId="77777777" w:rsidR="007237B7" w:rsidRDefault="007237B7" w:rsidP="00907E9B">
      <w:pPr>
        <w:spacing w:after="0" w:line="240" w:lineRule="auto"/>
      </w:pPr>
      <w:r>
        <w:separator/>
      </w:r>
    </w:p>
  </w:endnote>
  <w:endnote w:type="continuationSeparator" w:id="0">
    <w:p w14:paraId="1E7DA9B6" w14:textId="77777777" w:rsidR="007237B7" w:rsidRDefault="007237B7" w:rsidP="0090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C7C7" w14:textId="77777777" w:rsidR="007237B7" w:rsidRDefault="007237B7" w:rsidP="00907E9B">
      <w:pPr>
        <w:spacing w:after="0" w:line="240" w:lineRule="auto"/>
      </w:pPr>
      <w:r>
        <w:separator/>
      </w:r>
    </w:p>
  </w:footnote>
  <w:footnote w:type="continuationSeparator" w:id="0">
    <w:p w14:paraId="35132AA9" w14:textId="77777777" w:rsidR="007237B7" w:rsidRDefault="007237B7" w:rsidP="0090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2083" w14:textId="77777777" w:rsidR="00907E9B" w:rsidRPr="008769F4" w:rsidRDefault="00907E9B" w:rsidP="00907E9B">
    <w:pPr>
      <w:pStyle w:val="Encabezado"/>
      <w:rPr>
        <w:rFonts w:cstheme="minorHAnsi"/>
      </w:rPr>
    </w:pPr>
    <w:r w:rsidRPr="008769F4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96F35BB" wp14:editId="5A6D0F3D">
          <wp:simplePos x="0" y="0"/>
          <wp:positionH relativeFrom="column">
            <wp:posOffset>3679190</wp:posOffset>
          </wp:positionH>
          <wp:positionV relativeFrom="paragraph">
            <wp:posOffset>-174625</wp:posOffset>
          </wp:positionV>
          <wp:extent cx="1725930" cy="434340"/>
          <wp:effectExtent l="0" t="0" r="762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9F4">
      <w:rPr>
        <w:rFonts w:cstheme="minorHAnsi"/>
        <w:b/>
      </w:rPr>
      <w:t>NOTA DE PRENSA</w:t>
    </w:r>
    <w:r w:rsidRPr="008769F4">
      <w:rPr>
        <w:rFonts w:cstheme="minorHAnsi"/>
      </w:rPr>
      <w:t xml:space="preserve">                                                    </w:t>
    </w:r>
  </w:p>
  <w:p w14:paraId="6E6BC8BA" w14:textId="77777777" w:rsidR="00907E9B" w:rsidRPr="00907E9B" w:rsidRDefault="00907E9B" w:rsidP="00907E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54D"/>
    <w:multiLevelType w:val="hybridMultilevel"/>
    <w:tmpl w:val="72349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CF"/>
    <w:rsid w:val="000004B5"/>
    <w:rsid w:val="001467A5"/>
    <w:rsid w:val="001D77CF"/>
    <w:rsid w:val="002D11AA"/>
    <w:rsid w:val="00356899"/>
    <w:rsid w:val="004420A1"/>
    <w:rsid w:val="004F76EE"/>
    <w:rsid w:val="005E11CF"/>
    <w:rsid w:val="00701D08"/>
    <w:rsid w:val="007237B7"/>
    <w:rsid w:val="0072434A"/>
    <w:rsid w:val="00776D61"/>
    <w:rsid w:val="007E42AE"/>
    <w:rsid w:val="008A57E7"/>
    <w:rsid w:val="00907E9B"/>
    <w:rsid w:val="0094581C"/>
    <w:rsid w:val="009638CB"/>
    <w:rsid w:val="00A2556B"/>
    <w:rsid w:val="00AD375C"/>
    <w:rsid w:val="00B36422"/>
    <w:rsid w:val="00B520C8"/>
    <w:rsid w:val="00BD6356"/>
    <w:rsid w:val="00D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1DECD"/>
  <w15:chartTrackingRefBased/>
  <w15:docId w15:val="{7D88A151-DA68-4727-A408-A9D194E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0C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0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7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E9B"/>
  </w:style>
  <w:style w:type="paragraph" w:styleId="Piedepgina">
    <w:name w:val="footer"/>
    <w:basedOn w:val="Normal"/>
    <w:link w:val="PiedepginaCar"/>
    <w:uiPriority w:val="99"/>
    <w:unhideWhenUsed/>
    <w:rsid w:val="0090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E9B"/>
  </w:style>
  <w:style w:type="paragraph" w:styleId="NormalWeb">
    <w:name w:val="Normal (Web)"/>
    <w:basedOn w:val="Normal"/>
    <w:uiPriority w:val="99"/>
    <w:unhideWhenUsed/>
    <w:rsid w:val="00907E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8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328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0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4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2509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6" w:space="30" w:color="A9A9A9"/>
            <w:right w:val="none" w:sz="0" w:space="0" w:color="auto"/>
          </w:divBdr>
          <w:divsChild>
            <w:div w:id="10571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0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8697607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0775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arrio@compromisoempresa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omisoytranspar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7</cp:revision>
  <dcterms:created xsi:type="dcterms:W3CDTF">2020-09-14T16:00:00Z</dcterms:created>
  <dcterms:modified xsi:type="dcterms:W3CDTF">2020-09-17T09:40:00Z</dcterms:modified>
</cp:coreProperties>
</file>