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EE22" w14:textId="77777777" w:rsidR="00826768" w:rsidRDefault="00826768" w:rsidP="007C49FA">
      <w:pPr>
        <w:jc w:val="center"/>
        <w:rPr>
          <w:rFonts w:cs="Times New Roman"/>
          <w:szCs w:val="24"/>
        </w:rPr>
      </w:pPr>
    </w:p>
    <w:p w14:paraId="60589AB8" w14:textId="2C0D0FC5" w:rsidR="00700076" w:rsidRPr="00F00092" w:rsidRDefault="00700076" w:rsidP="007C49FA">
      <w:pPr>
        <w:jc w:val="center"/>
        <w:rPr>
          <w:rFonts w:cs="Times New Roman"/>
          <w:szCs w:val="24"/>
        </w:rPr>
      </w:pPr>
      <w:r w:rsidRPr="001A06DD">
        <w:rPr>
          <w:rFonts w:cs="Times New Roman"/>
          <w:szCs w:val="24"/>
        </w:rPr>
        <w:t>Según</w:t>
      </w:r>
      <w:r w:rsidRPr="00221991">
        <w:rPr>
          <w:rFonts w:cs="Times New Roman"/>
          <w:szCs w:val="24"/>
        </w:rPr>
        <w:t xml:space="preserve"> </w:t>
      </w:r>
      <w:r w:rsidR="007A018D">
        <w:rPr>
          <w:rFonts w:cs="Times New Roman"/>
          <w:szCs w:val="24"/>
        </w:rPr>
        <w:t>e</w:t>
      </w:r>
      <w:r w:rsidR="00F00092">
        <w:rPr>
          <w:rFonts w:cs="Times New Roman"/>
          <w:szCs w:val="24"/>
        </w:rPr>
        <w:t xml:space="preserve">l </w:t>
      </w:r>
      <w:r w:rsidR="00776E1B">
        <w:rPr>
          <w:rFonts w:cs="Times New Roman"/>
          <w:szCs w:val="24"/>
        </w:rPr>
        <w:t>segundo</w:t>
      </w:r>
      <w:r w:rsidR="00F00092">
        <w:rPr>
          <w:rFonts w:cs="Times New Roman"/>
          <w:szCs w:val="24"/>
        </w:rPr>
        <w:t xml:space="preserve"> informe </w:t>
      </w:r>
      <w:r w:rsidR="007A018D">
        <w:rPr>
          <w:rFonts w:cs="Times New Roman"/>
          <w:i/>
          <w:szCs w:val="24"/>
        </w:rPr>
        <w:t>Carrera y talento sénior</w:t>
      </w:r>
      <w:r w:rsidR="00F00092">
        <w:rPr>
          <w:rFonts w:cs="Times New Roman"/>
          <w:i/>
          <w:szCs w:val="24"/>
        </w:rPr>
        <w:t xml:space="preserve"> </w:t>
      </w:r>
      <w:r w:rsidR="00F00092">
        <w:rPr>
          <w:rFonts w:cs="Times New Roman"/>
          <w:szCs w:val="24"/>
        </w:rPr>
        <w:t>de Compromiso y Transparencia</w:t>
      </w:r>
    </w:p>
    <w:p w14:paraId="42347742" w14:textId="00A2C48A" w:rsidR="00255B02" w:rsidRPr="00774480" w:rsidRDefault="00670C21" w:rsidP="008D79AE">
      <w:pPr>
        <w:jc w:val="center"/>
        <w:rPr>
          <w:b/>
          <w:color w:val="FF0000"/>
          <w:sz w:val="32"/>
        </w:rPr>
      </w:pPr>
      <w:r>
        <w:rPr>
          <w:b/>
          <w:sz w:val="32"/>
        </w:rPr>
        <w:t xml:space="preserve">El </w:t>
      </w:r>
      <w:r w:rsidR="00776E1B">
        <w:rPr>
          <w:b/>
          <w:sz w:val="32"/>
        </w:rPr>
        <w:t>63</w:t>
      </w:r>
      <w:r>
        <w:rPr>
          <w:b/>
          <w:sz w:val="32"/>
        </w:rPr>
        <w:t>%</w:t>
      </w:r>
      <w:r w:rsidR="007A018D">
        <w:rPr>
          <w:b/>
          <w:sz w:val="32"/>
        </w:rPr>
        <w:t xml:space="preserve"> de</w:t>
      </w:r>
      <w:r w:rsidR="008D79AE">
        <w:rPr>
          <w:b/>
          <w:sz w:val="32"/>
        </w:rPr>
        <w:t xml:space="preserve"> empresas del IBEX 35 </w:t>
      </w:r>
      <w:r w:rsidR="004A1B2D">
        <w:rPr>
          <w:b/>
          <w:sz w:val="32"/>
        </w:rPr>
        <w:t xml:space="preserve">son </w:t>
      </w:r>
      <w:r w:rsidR="006C0889">
        <w:rPr>
          <w:b/>
          <w:sz w:val="32"/>
        </w:rPr>
        <w:t>opaca</w:t>
      </w:r>
      <w:r w:rsidR="004A1B2D">
        <w:rPr>
          <w:b/>
          <w:sz w:val="32"/>
        </w:rPr>
        <w:t>s</w:t>
      </w:r>
      <w:r w:rsidR="005F1367">
        <w:rPr>
          <w:b/>
          <w:sz w:val="32"/>
        </w:rPr>
        <w:t xml:space="preserve"> sobre cómo gestiona</w:t>
      </w:r>
      <w:r w:rsidR="004A1B2D">
        <w:rPr>
          <w:b/>
          <w:sz w:val="32"/>
        </w:rPr>
        <w:t>n</w:t>
      </w:r>
      <w:r w:rsidR="005F1367">
        <w:rPr>
          <w:b/>
          <w:sz w:val="32"/>
        </w:rPr>
        <w:t xml:space="preserve"> el </w:t>
      </w:r>
      <w:r w:rsidR="007A018D">
        <w:rPr>
          <w:b/>
          <w:sz w:val="32"/>
        </w:rPr>
        <w:t>talento sénior</w:t>
      </w:r>
      <w:r w:rsidR="005F1367">
        <w:rPr>
          <w:b/>
          <w:sz w:val="32"/>
        </w:rPr>
        <w:t xml:space="preserve"> de sus plantillas</w:t>
      </w:r>
    </w:p>
    <w:p w14:paraId="7FE33426" w14:textId="77777777" w:rsidR="00776E1B" w:rsidRDefault="00776E1B" w:rsidP="007E48D4">
      <w:pPr>
        <w:pStyle w:val="ListParagraph"/>
        <w:jc w:val="both"/>
        <w:rPr>
          <w:i/>
        </w:rPr>
      </w:pPr>
    </w:p>
    <w:p w14:paraId="4D5CC4E5" w14:textId="03CCE338" w:rsidR="006C0889" w:rsidRDefault="00805CD3" w:rsidP="006C0889">
      <w:pPr>
        <w:pStyle w:val="ListParagraph"/>
        <w:numPr>
          <w:ilvl w:val="0"/>
          <w:numId w:val="3"/>
        </w:numPr>
        <w:jc w:val="both"/>
        <w:rPr>
          <w:i/>
        </w:rPr>
      </w:pPr>
      <w:proofErr w:type="spellStart"/>
      <w:r>
        <w:rPr>
          <w:i/>
        </w:rPr>
        <w:t>CaixaBank</w:t>
      </w:r>
      <w:proofErr w:type="spellEnd"/>
      <w:r>
        <w:rPr>
          <w:i/>
        </w:rPr>
        <w:t xml:space="preserve"> y Red </w:t>
      </w:r>
      <w:r w:rsidR="005F1367">
        <w:rPr>
          <w:i/>
        </w:rPr>
        <w:t>Eléctrica</w:t>
      </w:r>
      <w:r>
        <w:rPr>
          <w:i/>
        </w:rPr>
        <w:t xml:space="preserve"> de España, las d</w:t>
      </w:r>
      <w:r w:rsidR="005F1367">
        <w:rPr>
          <w:i/>
        </w:rPr>
        <w:t>os únicas empresas del IBEX 35 ‘T</w:t>
      </w:r>
      <w:r>
        <w:rPr>
          <w:i/>
        </w:rPr>
        <w:t>ransparentes</w:t>
      </w:r>
      <w:r w:rsidR="005F1367">
        <w:rPr>
          <w:i/>
        </w:rPr>
        <w:t>’</w:t>
      </w:r>
      <w:r>
        <w:rPr>
          <w:i/>
        </w:rPr>
        <w:t xml:space="preserve"> en la información que </w:t>
      </w:r>
      <w:r w:rsidR="00B820CD">
        <w:rPr>
          <w:i/>
        </w:rPr>
        <w:t xml:space="preserve">hacen pública sobre </w:t>
      </w:r>
      <w:r w:rsidR="00B820CD" w:rsidRPr="006C0889">
        <w:rPr>
          <w:i/>
        </w:rPr>
        <w:t xml:space="preserve">la </w:t>
      </w:r>
      <w:r>
        <w:rPr>
          <w:i/>
        </w:rPr>
        <w:t>gestión del talento sénior.</w:t>
      </w:r>
    </w:p>
    <w:p w14:paraId="712272D4" w14:textId="77777777" w:rsidR="006C0889" w:rsidRDefault="006C0889" w:rsidP="006C0889">
      <w:pPr>
        <w:pStyle w:val="ListParagraph"/>
        <w:jc w:val="both"/>
        <w:rPr>
          <w:i/>
        </w:rPr>
      </w:pPr>
    </w:p>
    <w:p w14:paraId="56C4836F" w14:textId="7AFA5882" w:rsidR="00817F90" w:rsidRPr="006C0889" w:rsidRDefault="005F1367" w:rsidP="006C0889">
      <w:pPr>
        <w:pStyle w:val="ListParagraph"/>
        <w:numPr>
          <w:ilvl w:val="0"/>
          <w:numId w:val="3"/>
        </w:numPr>
        <w:jc w:val="both"/>
        <w:rPr>
          <w:i/>
        </w:rPr>
      </w:pPr>
      <w:r w:rsidRPr="006C0889">
        <w:rPr>
          <w:i/>
        </w:rPr>
        <w:t>Aumenta</w:t>
      </w:r>
      <w:r w:rsidR="00817F90" w:rsidRPr="006C0889">
        <w:rPr>
          <w:i/>
        </w:rPr>
        <w:t xml:space="preserve"> en </w:t>
      </w:r>
      <w:r w:rsidR="00F546A0" w:rsidRPr="006C0889">
        <w:rPr>
          <w:i/>
        </w:rPr>
        <w:t>ocho</w:t>
      </w:r>
      <w:r w:rsidR="00817F90" w:rsidRPr="006C0889">
        <w:rPr>
          <w:i/>
        </w:rPr>
        <w:t xml:space="preserve"> puntos porcentuales el grado de </w:t>
      </w:r>
      <w:r w:rsidRPr="006C0889">
        <w:rPr>
          <w:i/>
        </w:rPr>
        <w:t>transparencia</w:t>
      </w:r>
      <w:r w:rsidR="00817F90" w:rsidRPr="006C0889">
        <w:rPr>
          <w:i/>
        </w:rPr>
        <w:t xml:space="preserve"> de las </w:t>
      </w:r>
      <w:r w:rsidRPr="006C0889">
        <w:rPr>
          <w:i/>
        </w:rPr>
        <w:t>compañías</w:t>
      </w:r>
      <w:r w:rsidR="00B820CD" w:rsidRPr="006C0889">
        <w:rPr>
          <w:i/>
        </w:rPr>
        <w:t xml:space="preserve"> del IBEX 35</w:t>
      </w:r>
      <w:r w:rsidR="00817F90" w:rsidRPr="006C0889">
        <w:rPr>
          <w:i/>
        </w:rPr>
        <w:t xml:space="preserve"> </w:t>
      </w:r>
      <w:r w:rsidRPr="006C0889">
        <w:rPr>
          <w:i/>
        </w:rPr>
        <w:t>sobre</w:t>
      </w:r>
      <w:r w:rsidR="00817F90" w:rsidRPr="006C0889">
        <w:rPr>
          <w:i/>
        </w:rPr>
        <w:t xml:space="preserve"> la gestión del talento sénior</w:t>
      </w:r>
      <w:r w:rsidR="00B820CD" w:rsidRPr="006C0889">
        <w:rPr>
          <w:i/>
        </w:rPr>
        <w:t>, tras la aprobación de la Ley 11/2018 sobre información no financiera y diversidad</w:t>
      </w:r>
      <w:r w:rsidR="00652C78" w:rsidRPr="006C0889">
        <w:rPr>
          <w:i/>
        </w:rPr>
        <w:t>.</w:t>
      </w:r>
    </w:p>
    <w:p w14:paraId="65FEB889" w14:textId="77777777" w:rsidR="00817F90" w:rsidRPr="00817F90" w:rsidRDefault="00817F90" w:rsidP="00817F90">
      <w:pPr>
        <w:pStyle w:val="ListParagraph"/>
        <w:jc w:val="both"/>
        <w:rPr>
          <w:i/>
        </w:rPr>
      </w:pPr>
    </w:p>
    <w:p w14:paraId="52A4D578" w14:textId="78E67356" w:rsidR="006955E8" w:rsidRPr="00826768" w:rsidRDefault="00B820CD" w:rsidP="00826768">
      <w:pPr>
        <w:pStyle w:val="ListParagraph"/>
        <w:numPr>
          <w:ilvl w:val="0"/>
          <w:numId w:val="3"/>
        </w:numPr>
        <w:jc w:val="both"/>
        <w:rPr>
          <w:i/>
        </w:rPr>
      </w:pPr>
      <w:r w:rsidRPr="006C0889">
        <w:rPr>
          <w:i/>
        </w:rPr>
        <w:t>Pese al incremento de los ERE en el año 2019, sig</w:t>
      </w:r>
      <w:r w:rsidR="006C0889" w:rsidRPr="006C0889">
        <w:rPr>
          <w:i/>
        </w:rPr>
        <w:t xml:space="preserve">ue habiendo muy pocas empresas </w:t>
      </w:r>
      <w:r w:rsidRPr="006C0889">
        <w:rPr>
          <w:i/>
        </w:rPr>
        <w:t>que complemente</w:t>
      </w:r>
      <w:r w:rsidR="00643488">
        <w:rPr>
          <w:i/>
        </w:rPr>
        <w:t>n</w:t>
      </w:r>
      <w:r w:rsidRPr="006C0889">
        <w:rPr>
          <w:i/>
        </w:rPr>
        <w:t xml:space="preserve"> esa medida con o</w:t>
      </w:r>
      <w:r w:rsidR="006C0889">
        <w:rPr>
          <w:i/>
        </w:rPr>
        <w:t>tras ayudas al colectivo sénior, el más afectado</w:t>
      </w:r>
      <w:r w:rsidRPr="006C0889">
        <w:rPr>
          <w:i/>
        </w:rPr>
        <w:t xml:space="preserve"> por los despidos</w:t>
      </w:r>
      <w:r w:rsidR="00652C78" w:rsidRPr="006C0889">
        <w:rPr>
          <w:i/>
        </w:rPr>
        <w:t>.</w:t>
      </w:r>
    </w:p>
    <w:p w14:paraId="07F366C9" w14:textId="77777777" w:rsidR="00826768" w:rsidRDefault="00826768" w:rsidP="006955E8">
      <w:pPr>
        <w:pStyle w:val="ListParagraph"/>
        <w:jc w:val="both"/>
        <w:rPr>
          <w:i/>
        </w:rPr>
      </w:pPr>
    </w:p>
    <w:p w14:paraId="0AAC1135" w14:textId="487A760F" w:rsidR="00670C21" w:rsidRDefault="00700076" w:rsidP="00533D08">
      <w:pPr>
        <w:jc w:val="both"/>
      </w:pPr>
      <w:r w:rsidRPr="00533D08">
        <w:rPr>
          <w:b/>
        </w:rPr>
        <w:t xml:space="preserve">Madrid, </w:t>
      </w:r>
      <w:r w:rsidR="005F1367">
        <w:rPr>
          <w:b/>
        </w:rPr>
        <w:t>6</w:t>
      </w:r>
      <w:r w:rsidRPr="00533D08">
        <w:rPr>
          <w:b/>
        </w:rPr>
        <w:t xml:space="preserve"> de </w:t>
      </w:r>
      <w:r w:rsidR="00081E84">
        <w:rPr>
          <w:b/>
        </w:rPr>
        <w:t>febrero</w:t>
      </w:r>
      <w:r w:rsidRPr="00533D08">
        <w:rPr>
          <w:b/>
        </w:rPr>
        <w:t xml:space="preserve"> de 20</w:t>
      </w:r>
      <w:r w:rsidR="00533D08">
        <w:rPr>
          <w:b/>
        </w:rPr>
        <w:t>20</w:t>
      </w:r>
      <w:r w:rsidRPr="00533D08">
        <w:rPr>
          <w:b/>
        </w:rPr>
        <w:t>.</w:t>
      </w:r>
      <w:r w:rsidRPr="00294DFA">
        <w:t xml:space="preserve"> </w:t>
      </w:r>
      <w:r w:rsidR="00007D28">
        <w:t>El</w:t>
      </w:r>
      <w:r w:rsidR="00533D08">
        <w:rPr>
          <w:b/>
        </w:rPr>
        <w:t xml:space="preserve"> </w:t>
      </w:r>
      <w:r w:rsidR="00533D08" w:rsidRPr="00007D28">
        <w:t>63</w:t>
      </w:r>
      <w:r w:rsidR="00670C21" w:rsidRPr="00007D28">
        <w:t>%</w:t>
      </w:r>
      <w:r w:rsidR="00007D28" w:rsidRPr="00007D28">
        <w:t xml:space="preserve"> de las empresas cotizadas</w:t>
      </w:r>
      <w:r w:rsidR="001A1F87" w:rsidRPr="00007D28">
        <w:t xml:space="preserve"> presta</w:t>
      </w:r>
      <w:r w:rsidR="00670C21" w:rsidRPr="00007D28">
        <w:t xml:space="preserve"> muy </w:t>
      </w:r>
      <w:r w:rsidR="00670C21" w:rsidRPr="00007D28">
        <w:rPr>
          <w:b/>
        </w:rPr>
        <w:t>poca atención o nula a</w:t>
      </w:r>
      <w:r w:rsidR="008D79AE" w:rsidRPr="00007D28">
        <w:rPr>
          <w:b/>
        </w:rPr>
        <w:t xml:space="preserve"> los </w:t>
      </w:r>
      <w:r w:rsidR="006955E8" w:rsidRPr="00007D28">
        <w:rPr>
          <w:b/>
        </w:rPr>
        <w:t>empleados</w:t>
      </w:r>
      <w:r w:rsidR="008D79AE" w:rsidRPr="00007D28">
        <w:rPr>
          <w:b/>
        </w:rPr>
        <w:t xml:space="preserve"> de más de 50 años</w:t>
      </w:r>
      <w:r w:rsidR="008D79AE" w:rsidRPr="00533D08">
        <w:rPr>
          <w:b/>
        </w:rPr>
        <w:t xml:space="preserve"> </w:t>
      </w:r>
      <w:r w:rsidR="00670C21">
        <w:t xml:space="preserve">de sus plantillas. Así lo deprende el </w:t>
      </w:r>
      <w:r w:rsidR="00533D08">
        <w:t>segundo</w:t>
      </w:r>
      <w:r w:rsidR="00670C21">
        <w:t xml:space="preserve"> </w:t>
      </w:r>
      <w:r w:rsidR="00B964C9">
        <w:t>análisis</w:t>
      </w:r>
      <w:r w:rsidR="00670C21">
        <w:t xml:space="preserve"> </w:t>
      </w:r>
      <w:hyperlink r:id="rId8" w:history="1">
        <w:r w:rsidR="00670C21" w:rsidRPr="00D101BE">
          <w:rPr>
            <w:rStyle w:val="Hyperlink"/>
            <w:i/>
          </w:rPr>
          <w:t>Carrera y talento sénior. Informe de transparencia y b</w:t>
        </w:r>
        <w:r w:rsidR="008D79AE" w:rsidRPr="00D101BE">
          <w:rPr>
            <w:rStyle w:val="Hyperlink"/>
            <w:i/>
          </w:rPr>
          <w:t>u</w:t>
        </w:r>
        <w:r w:rsidR="00670C21" w:rsidRPr="00D101BE">
          <w:rPr>
            <w:rStyle w:val="Hyperlink"/>
            <w:i/>
          </w:rPr>
          <w:t>en gobierno sobre la gestión del talento sénior en las empresas del IBEX 35,</w:t>
        </w:r>
      </w:hyperlink>
      <w:r w:rsidR="00670C21">
        <w:t xml:space="preserve"> elaborado por la Fundación Compromiso y Transparencia</w:t>
      </w:r>
      <w:r w:rsidR="00167D93">
        <w:t xml:space="preserve"> (FCyT)</w:t>
      </w:r>
      <w:r w:rsidR="00B964C9">
        <w:t>,</w:t>
      </w:r>
      <w:r w:rsidR="00670C21">
        <w:t xml:space="preserve"> en colaboración con </w:t>
      </w:r>
      <w:r w:rsidR="00533D08">
        <w:t>I</w:t>
      </w:r>
      <w:r w:rsidR="00670C21" w:rsidRPr="00670C21">
        <w:t>twillbe</w:t>
      </w:r>
      <w:r w:rsidR="00533D08">
        <w:t>.org</w:t>
      </w:r>
      <w:r w:rsidR="00670C21">
        <w:t xml:space="preserve"> y </w:t>
      </w:r>
      <w:r w:rsidR="00670C21" w:rsidRPr="00670C21">
        <w:t xml:space="preserve">Fundación </w:t>
      </w:r>
      <w:proofErr w:type="spellStart"/>
      <w:r w:rsidR="00670C21" w:rsidRPr="00670C21">
        <w:t>Knowdle</w:t>
      </w:r>
      <w:proofErr w:type="spellEnd"/>
      <w:r w:rsidR="00B964C9">
        <w:t>.</w:t>
      </w:r>
    </w:p>
    <w:p w14:paraId="28560E0C" w14:textId="39D6A159" w:rsidR="006D65E9" w:rsidRDefault="00B964C9" w:rsidP="00EF2296">
      <w:pPr>
        <w:jc w:val="both"/>
      </w:pPr>
      <w:r>
        <w:t xml:space="preserve">El informe, </w:t>
      </w:r>
      <w:r w:rsidR="00054951" w:rsidRPr="00294DFA">
        <w:t xml:space="preserve">disponible en </w:t>
      </w:r>
      <w:hyperlink r:id="rId9" w:history="1">
        <w:r w:rsidR="007C49FA" w:rsidRPr="00294DFA">
          <w:rPr>
            <w:rStyle w:val="Hyperlink"/>
          </w:rPr>
          <w:t>www.compromisoytransparencia.com</w:t>
        </w:r>
      </w:hyperlink>
      <w:r w:rsidR="00823A9A" w:rsidRPr="00294DFA">
        <w:t xml:space="preserve">, </w:t>
      </w:r>
      <w:r w:rsidR="00533D08">
        <w:t xml:space="preserve">desprende que se ha producido un ligero </w:t>
      </w:r>
      <w:r w:rsidR="006D65E9">
        <w:t>crecimiento</w:t>
      </w:r>
      <w:r w:rsidR="00533D08">
        <w:t xml:space="preserve"> de la transparencia (</w:t>
      </w:r>
      <w:r w:rsidR="00F546A0">
        <w:t>ocho</w:t>
      </w:r>
      <w:r w:rsidR="00533D08">
        <w:t xml:space="preserve"> puntos porcentuales </w:t>
      </w:r>
      <w:r w:rsidR="006D65E9">
        <w:t>en comparación con el</w:t>
      </w:r>
      <w:r w:rsidR="00533D08">
        <w:t xml:space="preserve"> año anterior) </w:t>
      </w:r>
      <w:r w:rsidR="006D65E9">
        <w:t xml:space="preserve">con respecto a la información que las empresas del IBEX 35 publican sobre cómo gestionan </w:t>
      </w:r>
      <w:r w:rsidR="00533D08">
        <w:t>el talento sénior</w:t>
      </w:r>
      <w:r w:rsidR="006D65E9">
        <w:t xml:space="preserve"> de sus plantillas. </w:t>
      </w:r>
    </w:p>
    <w:p w14:paraId="254DFEB0" w14:textId="1D0FF0FF" w:rsidR="00533D08" w:rsidRDefault="006D65E9" w:rsidP="00EF2296">
      <w:pPr>
        <w:jc w:val="both"/>
      </w:pPr>
      <w:r>
        <w:t>Sin embargo, el documento también señala que este aumento de datos estadísticos</w:t>
      </w:r>
      <w:r w:rsidR="005F1367">
        <w:t>,</w:t>
      </w:r>
      <w:r>
        <w:t xml:space="preserve"> que </w:t>
      </w:r>
      <w:r w:rsidR="00007D28">
        <w:t xml:space="preserve">podría estar </w:t>
      </w:r>
      <w:r w:rsidR="005F1367">
        <w:t>impulsado</w:t>
      </w:r>
      <w:r w:rsidR="00533D08">
        <w:t xml:space="preserve"> </w:t>
      </w:r>
      <w:r w:rsidR="00167D93">
        <w:t>por</w:t>
      </w:r>
      <w:r w:rsidR="00533D08">
        <w:t xml:space="preserve"> la entrada en vigor de la </w:t>
      </w:r>
      <w:r w:rsidR="00533D08" w:rsidRPr="00F546A0">
        <w:rPr>
          <w:i/>
        </w:rPr>
        <w:t>Ley 11/2018 sobre información no financiera y diversidad</w:t>
      </w:r>
      <w:r w:rsidRPr="00F546A0">
        <w:rPr>
          <w:i/>
        </w:rPr>
        <w:t>,</w:t>
      </w:r>
      <w:r>
        <w:t xml:space="preserve"> </w:t>
      </w:r>
      <w:r w:rsidR="00533D08">
        <w:t xml:space="preserve">no ha ido acompañado de la publicación de políticas o prácticas concretas que </w:t>
      </w:r>
      <w:r w:rsidR="00643488">
        <w:t xml:space="preserve">valoren, aprovechen y </w:t>
      </w:r>
      <w:r w:rsidR="00533D08">
        <w:t>protejan</w:t>
      </w:r>
      <w:r w:rsidR="00D101BE">
        <w:t xml:space="preserve"> </w:t>
      </w:r>
      <w:bookmarkStart w:id="0" w:name="_GoBack"/>
      <w:bookmarkEnd w:id="0"/>
      <w:r w:rsidR="00533D08">
        <w:t>el empleo de los</w:t>
      </w:r>
      <w:r w:rsidR="00007D28">
        <w:t xml:space="preserve"> </w:t>
      </w:r>
      <w:r w:rsidR="005F1367">
        <w:t>trabajadores</w:t>
      </w:r>
      <w:r w:rsidR="00533D08">
        <w:t xml:space="preserve"> </w:t>
      </w:r>
      <w:r w:rsidR="00007D28">
        <w:t>sénior</w:t>
      </w:r>
      <w:r w:rsidR="00533D08">
        <w:t>.</w:t>
      </w:r>
    </w:p>
    <w:p w14:paraId="6793E511" w14:textId="1FBB15A4" w:rsidR="00007D28" w:rsidRDefault="00007D28" w:rsidP="00EF2296">
      <w:pPr>
        <w:jc w:val="both"/>
      </w:pPr>
      <w:r>
        <w:t xml:space="preserve">Solo </w:t>
      </w:r>
      <w:proofErr w:type="spellStart"/>
      <w:r w:rsidRPr="00ED6494">
        <w:rPr>
          <w:b/>
        </w:rPr>
        <w:t>Caixabank</w:t>
      </w:r>
      <w:proofErr w:type="spellEnd"/>
      <w:r w:rsidRPr="00ED6494">
        <w:rPr>
          <w:b/>
        </w:rPr>
        <w:t>, liderando el ranking con 11 puntos</w:t>
      </w:r>
      <w:r>
        <w:t xml:space="preserve"> de 15 </w:t>
      </w:r>
      <w:r w:rsidR="00F546A0">
        <w:t>totales</w:t>
      </w:r>
      <w:r w:rsidR="006D65E9">
        <w:t>,</w:t>
      </w:r>
      <w:r>
        <w:t xml:space="preserve"> y </w:t>
      </w:r>
      <w:r w:rsidRPr="00ED6494">
        <w:rPr>
          <w:b/>
        </w:rPr>
        <w:t>Red Eléctrica de España</w:t>
      </w:r>
      <w:r w:rsidR="006D65E9" w:rsidRPr="00ED6494">
        <w:rPr>
          <w:b/>
        </w:rPr>
        <w:t>, con ocho puntos,</w:t>
      </w:r>
      <w:r>
        <w:t xml:space="preserve"> se clasifica</w:t>
      </w:r>
      <w:r w:rsidR="006D65E9">
        <w:t>n</w:t>
      </w:r>
      <w:r>
        <w:t xml:space="preserve"> en la categoría de</w:t>
      </w:r>
      <w:r w:rsidR="006D65E9">
        <w:t xml:space="preserve"> empresas</w:t>
      </w:r>
      <w:r>
        <w:t xml:space="preserve"> </w:t>
      </w:r>
      <w:r w:rsidRPr="006D65E9">
        <w:rPr>
          <w:i/>
        </w:rPr>
        <w:t>Transparentes</w:t>
      </w:r>
      <w:r w:rsidR="006D65E9">
        <w:t xml:space="preserve">. El grupo de las </w:t>
      </w:r>
      <w:r w:rsidR="006D65E9" w:rsidRPr="00F546A0">
        <w:rPr>
          <w:i/>
        </w:rPr>
        <w:t>Translúcidas</w:t>
      </w:r>
      <w:r w:rsidR="006D65E9">
        <w:t xml:space="preserve"> ha pasado de</w:t>
      </w:r>
      <w:r w:rsidR="00643488">
        <w:t>l</w:t>
      </w:r>
      <w:r w:rsidR="006D65E9">
        <w:t xml:space="preserve"> 23 a 31% en un año y el de </w:t>
      </w:r>
      <w:r w:rsidR="006D65E9" w:rsidRPr="00F546A0">
        <w:rPr>
          <w:i/>
        </w:rPr>
        <w:t>Opacas</w:t>
      </w:r>
      <w:r w:rsidR="006D65E9">
        <w:t xml:space="preserve"> ha disminuido en ocho puntos porcentuales</w:t>
      </w:r>
      <w:r w:rsidR="00F546A0">
        <w:t xml:space="preserve">, </w:t>
      </w:r>
      <w:r w:rsidR="00ED6494">
        <w:t>incluyendo</w:t>
      </w:r>
      <w:r w:rsidR="00F546A0">
        <w:t xml:space="preserve"> actualmente </w:t>
      </w:r>
      <w:r w:rsidR="00ED6494">
        <w:t xml:space="preserve">a </w:t>
      </w:r>
      <w:r w:rsidR="00F546A0">
        <w:t>un 63% de la muestra.</w:t>
      </w:r>
    </w:p>
    <w:p w14:paraId="5A6560AE" w14:textId="736AAD4B" w:rsidR="00F546A0" w:rsidRDefault="00F546A0" w:rsidP="00EF2296">
      <w:pPr>
        <w:jc w:val="both"/>
      </w:pPr>
      <w:r>
        <w:rPr>
          <w:noProof/>
          <w:lang w:eastAsia="es-ES"/>
        </w:rPr>
        <w:drawing>
          <wp:inline distT="0" distB="0" distL="0" distR="0" wp14:anchorId="5E871326" wp14:editId="5632F34B">
            <wp:extent cx="5400040" cy="1783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lucion-transparencia-talento-senior.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1783080"/>
                    </a:xfrm>
                    <a:prstGeom prst="rect">
                      <a:avLst/>
                    </a:prstGeom>
                  </pic:spPr>
                </pic:pic>
              </a:graphicData>
            </a:graphic>
          </wp:inline>
        </w:drawing>
      </w:r>
    </w:p>
    <w:p w14:paraId="3E15C77C" w14:textId="77777777" w:rsidR="00167D93" w:rsidRDefault="00167D93" w:rsidP="00533D08">
      <w:pPr>
        <w:jc w:val="both"/>
      </w:pPr>
    </w:p>
    <w:p w14:paraId="1ADED07A" w14:textId="59AE8C38" w:rsidR="00E32E86" w:rsidRDefault="00533D08" w:rsidP="00533D08">
      <w:pPr>
        <w:jc w:val="both"/>
      </w:pPr>
      <w:r>
        <w:t>E</w:t>
      </w:r>
      <w:r w:rsidR="00BA536A">
        <w:t>l</w:t>
      </w:r>
      <w:r>
        <w:t xml:space="preserve"> </w:t>
      </w:r>
      <w:r w:rsidR="00F546A0">
        <w:t>informe llama la atención sobre las cifras de</w:t>
      </w:r>
      <w:r w:rsidR="00F546A0" w:rsidRPr="00F546A0">
        <w:t xml:space="preserve"> </w:t>
      </w:r>
      <w:r w:rsidR="00F546A0">
        <w:t>e</w:t>
      </w:r>
      <w:r w:rsidR="00F546A0" w:rsidRPr="00F546A0">
        <w:t>xpediente</w:t>
      </w:r>
      <w:r w:rsidR="00F546A0">
        <w:t>s</w:t>
      </w:r>
      <w:r w:rsidR="00F546A0" w:rsidRPr="00F546A0">
        <w:t xml:space="preserve"> de regulación de empleo</w:t>
      </w:r>
      <w:r w:rsidR="00F546A0">
        <w:t xml:space="preserve"> (ERE) que ha dejado 2019</w:t>
      </w:r>
      <w:r w:rsidR="00167D93">
        <w:t>; e</w:t>
      </w:r>
      <w:r w:rsidR="00F546A0">
        <w:t xml:space="preserve">l pasado año se </w:t>
      </w:r>
      <w:r w:rsidR="00F546A0" w:rsidRPr="00167D93">
        <w:rPr>
          <w:b/>
        </w:rPr>
        <w:t xml:space="preserve">incrementaron en </w:t>
      </w:r>
      <w:r w:rsidR="004E71F1" w:rsidRPr="00167D93">
        <w:rPr>
          <w:b/>
        </w:rPr>
        <w:t>un 50% los trabajadores afectados por ERE</w:t>
      </w:r>
      <w:r w:rsidR="004E71F1">
        <w:t xml:space="preserve"> en España</w:t>
      </w:r>
      <w:r w:rsidR="00167D93">
        <w:t>.</w:t>
      </w:r>
      <w:r w:rsidR="004E71F1">
        <w:t xml:space="preserve"> El colectivo más</w:t>
      </w:r>
      <w:r w:rsidR="00007D28">
        <w:t xml:space="preserve"> desfavorecido e</w:t>
      </w:r>
      <w:r w:rsidR="004E71F1">
        <w:t>n este tipo de procedimiento es el de los empleados de ava</w:t>
      </w:r>
      <w:r w:rsidR="00E32E86">
        <w:t>nzada edad, recuerda el informe: p</w:t>
      </w:r>
      <w:r w:rsidR="00E32E86" w:rsidRPr="00E32E86">
        <w:t>rácticamente ningu</w:t>
      </w:r>
      <w:r w:rsidR="00E32E86">
        <w:t>na empresa acompaña los ERE con</w:t>
      </w:r>
      <w:r w:rsidR="00E32E86" w:rsidRPr="00E32E86">
        <w:t xml:space="preserve"> medidas complementarias que ayuden a preparar y gestionar mejor la salida </w:t>
      </w:r>
      <w:r w:rsidR="00E32E86">
        <w:t xml:space="preserve">de los empleados </w:t>
      </w:r>
      <w:proofErr w:type="spellStart"/>
      <w:r w:rsidR="00E32E86">
        <w:t>sé</w:t>
      </w:r>
      <w:r w:rsidR="00E32E86" w:rsidRPr="00E32E86">
        <w:t>niors</w:t>
      </w:r>
      <w:proofErr w:type="spellEnd"/>
      <w:r w:rsidR="00E32E86" w:rsidRPr="00E32E86">
        <w:t>.</w:t>
      </w:r>
    </w:p>
    <w:p w14:paraId="78FBC1ED" w14:textId="77777777" w:rsidR="00007D28" w:rsidRDefault="004E71F1" w:rsidP="00533D08">
      <w:pPr>
        <w:jc w:val="both"/>
      </w:pPr>
      <w:r w:rsidRPr="004E71F1">
        <w:t xml:space="preserve">José Miguel Roca, coautor del estudio, afirma que “crece el interés y la preocupación de muchos colectivos por la gestión de los empleados sénior, pero sus efectos no llegan a las grandes empresas que siguen </w:t>
      </w:r>
      <w:r w:rsidRPr="006F5844">
        <w:rPr>
          <w:b/>
        </w:rPr>
        <w:t>basando sus</w:t>
      </w:r>
      <w:r w:rsidRPr="004E71F1">
        <w:t xml:space="preserve"> </w:t>
      </w:r>
      <w:r w:rsidRPr="006F5844">
        <w:rPr>
          <w:b/>
        </w:rPr>
        <w:t>reestructuraciones en los profesionales de mayor edad</w:t>
      </w:r>
      <w:r w:rsidR="00007D28" w:rsidRPr="006F5844">
        <w:rPr>
          <w:b/>
        </w:rPr>
        <w:t>”</w:t>
      </w:r>
      <w:r w:rsidRPr="006F5844">
        <w:rPr>
          <w:b/>
        </w:rPr>
        <w:t>.</w:t>
      </w:r>
      <w:r w:rsidRPr="004E71F1">
        <w:t xml:space="preserve"> </w:t>
      </w:r>
    </w:p>
    <w:p w14:paraId="67480921" w14:textId="3BCECF4C" w:rsidR="00826768" w:rsidRDefault="00826768" w:rsidP="00826768">
      <w:pPr>
        <w:jc w:val="both"/>
      </w:pPr>
      <w:r>
        <w:t xml:space="preserve">“Los directivos empresariales apelan con frecuencia a la necesidad de aceptar la realidad de las cosas para justificar esas medidas sin ser plenamente conscientes de que el realismo reclama proyectar una </w:t>
      </w:r>
      <w:r w:rsidRPr="002033CB">
        <w:rPr>
          <w:b/>
        </w:rPr>
        <w:t>mirada mucho más integral y multidimensional</w:t>
      </w:r>
      <w:r>
        <w:t xml:space="preserve"> sobre los problemas. En este sentido, las empresas deben ser conscientes de que las decisiones de ajuste de plantilla, inevitables en muchas ocasiones, pueden y deben ir acompañadas de otras medidas que ayuden a mitigar el impacto de esas resoluciones”, añade Javier Martín Cavanna, coautor y fundador y director de FCyT.</w:t>
      </w:r>
    </w:p>
    <w:p w14:paraId="28090819" w14:textId="72AF1CFF" w:rsidR="00E32E86" w:rsidRDefault="00E32E86" w:rsidP="002D49DA">
      <w:pPr>
        <w:jc w:val="both"/>
        <w:rPr>
          <w:b/>
        </w:rPr>
      </w:pPr>
      <w:r w:rsidRPr="00E32E86">
        <w:rPr>
          <w:b/>
        </w:rPr>
        <w:t>Cumplimiento por indicadores</w:t>
      </w:r>
    </w:p>
    <w:p w14:paraId="4957A5FF" w14:textId="0856DA13" w:rsidR="00F5067C" w:rsidRDefault="00F5067C" w:rsidP="00F5067C">
      <w:pPr>
        <w:jc w:val="both"/>
      </w:pPr>
      <w:r>
        <w:t xml:space="preserve">Para medir el compromiso de las empresas en la gestión del talento sénior </w:t>
      </w:r>
      <w:r w:rsidR="00167D93">
        <w:t xml:space="preserve">FCyT </w:t>
      </w:r>
      <w:r>
        <w:t xml:space="preserve">ha </w:t>
      </w:r>
      <w:r w:rsidRPr="004F4FC4">
        <w:rPr>
          <w:b/>
        </w:rPr>
        <w:t>analizado 1</w:t>
      </w:r>
      <w:r>
        <w:rPr>
          <w:b/>
        </w:rPr>
        <w:t>5</w:t>
      </w:r>
      <w:r w:rsidRPr="004F4FC4">
        <w:rPr>
          <w:b/>
        </w:rPr>
        <w:t xml:space="preserve"> indicadores </w:t>
      </w:r>
      <w:r>
        <w:t xml:space="preserve">que abordan aspectos como la existencia en las compañías de políticas de diversidad que contemplen la longevidad; la transparencia en la información de los empleados en función de la edad; las medidas para evitar sesgos en los procesos de recursos humanos; las iniciativas y proyectos específicos para promover la salud y la seguridad laboral de sus </w:t>
      </w:r>
      <w:proofErr w:type="spellStart"/>
      <w:r w:rsidRPr="002D49DA">
        <w:t>séniors</w:t>
      </w:r>
      <w:proofErr w:type="spellEnd"/>
      <w:r>
        <w:t>, o la participación de los empleados prejubilados y jubilados en actividades de la compañía.</w:t>
      </w:r>
    </w:p>
    <w:p w14:paraId="51A31877" w14:textId="4BC677B2" w:rsidR="00E32E86" w:rsidRDefault="00E32E86" w:rsidP="00E32E86">
      <w:pPr>
        <w:jc w:val="both"/>
      </w:pPr>
      <w:r>
        <w:t xml:space="preserve">Los indicadores que más cumplen las empresas </w:t>
      </w:r>
      <w:r w:rsidR="007F6D7E">
        <w:t xml:space="preserve">en esta edición </w:t>
      </w:r>
      <w:r>
        <w:t xml:space="preserve">son los relativos a los datos sobre la </w:t>
      </w:r>
      <w:r w:rsidRPr="00F5067C">
        <w:rPr>
          <w:i/>
        </w:rPr>
        <w:t>Segmentación de plantillas</w:t>
      </w:r>
      <w:r w:rsidR="006F5844">
        <w:rPr>
          <w:i/>
        </w:rPr>
        <w:t xml:space="preserve"> </w:t>
      </w:r>
      <w:r w:rsidR="006F5844" w:rsidRPr="006F5844">
        <w:t>(97%)</w:t>
      </w:r>
      <w:r w:rsidRPr="006F5844">
        <w:t xml:space="preserve">, </w:t>
      </w:r>
      <w:r>
        <w:t xml:space="preserve">las </w:t>
      </w:r>
      <w:r w:rsidRPr="00F5067C">
        <w:rPr>
          <w:i/>
        </w:rPr>
        <w:t>Altas y bajas en la plantilla</w:t>
      </w:r>
      <w:r w:rsidR="006F5844">
        <w:rPr>
          <w:i/>
        </w:rPr>
        <w:t xml:space="preserve"> </w:t>
      </w:r>
      <w:r w:rsidR="006F5844" w:rsidRPr="006F5844">
        <w:t>(89%)</w:t>
      </w:r>
      <w:r w:rsidRPr="006F5844">
        <w:t>,</w:t>
      </w:r>
      <w:r>
        <w:t xml:space="preserve"> la </w:t>
      </w:r>
      <w:r w:rsidRPr="00F5067C">
        <w:rPr>
          <w:i/>
        </w:rPr>
        <w:t>Diversidad generacional</w:t>
      </w:r>
      <w:r>
        <w:t xml:space="preserve"> </w:t>
      </w:r>
      <w:r w:rsidR="006F5844">
        <w:t xml:space="preserve">(77%) </w:t>
      </w:r>
      <w:r>
        <w:t xml:space="preserve">y la </w:t>
      </w:r>
      <w:r w:rsidRPr="00F5067C">
        <w:rPr>
          <w:i/>
        </w:rPr>
        <w:t>Remuneración</w:t>
      </w:r>
      <w:r w:rsidR="006F5844">
        <w:rPr>
          <w:i/>
        </w:rPr>
        <w:t xml:space="preserve"> </w:t>
      </w:r>
      <w:r w:rsidR="006F5844" w:rsidRPr="006F5844">
        <w:t>(60%)</w:t>
      </w:r>
      <w:r w:rsidRPr="006F5844">
        <w:t>.</w:t>
      </w:r>
    </w:p>
    <w:p w14:paraId="150C387B" w14:textId="3C03FBF5" w:rsidR="00E32E86" w:rsidRDefault="00E32E86" w:rsidP="00F5067C">
      <w:pPr>
        <w:jc w:val="both"/>
      </w:pPr>
      <w:r>
        <w:t>Destaca</w:t>
      </w:r>
      <w:r w:rsidR="00ED6494">
        <w:t>,</w:t>
      </w:r>
      <w:r w:rsidR="00F5067C">
        <w:t xml:space="preserve"> en</w:t>
      </w:r>
      <w:r w:rsidR="00ED6494">
        <w:t>tre estos indicadores,</w:t>
      </w:r>
      <w:r w:rsidR="00F5067C">
        <w:t xml:space="preserve"> que</w:t>
      </w:r>
      <w:r>
        <w:t xml:space="preserve"> la </w:t>
      </w:r>
      <w:r w:rsidRPr="00826768">
        <w:rPr>
          <w:b/>
        </w:rPr>
        <w:t xml:space="preserve">información sobre </w:t>
      </w:r>
      <w:r w:rsidR="00ED6494" w:rsidRPr="00826768">
        <w:rPr>
          <w:b/>
        </w:rPr>
        <w:t>la pirámide de edad de lo</w:t>
      </w:r>
      <w:r w:rsidR="00F5067C" w:rsidRPr="00826768">
        <w:rPr>
          <w:b/>
        </w:rPr>
        <w:t>s empleados</w:t>
      </w:r>
      <w:r>
        <w:t xml:space="preserve"> la cumpl</w:t>
      </w:r>
      <w:r w:rsidR="00797A62">
        <w:t xml:space="preserve">en todas las empresas menos </w:t>
      </w:r>
      <w:proofErr w:type="spellStart"/>
      <w:r w:rsidR="00F5067C" w:rsidRPr="00F5067C">
        <w:t>ArcelorMittal</w:t>
      </w:r>
      <w:proofErr w:type="spellEnd"/>
      <w:r w:rsidR="00F5067C">
        <w:t xml:space="preserve"> </w:t>
      </w:r>
      <w:r>
        <w:t xml:space="preserve">y que, en esta edición, se ha incorporado un indicador nuevo sobre </w:t>
      </w:r>
      <w:r w:rsidR="00F5067C">
        <w:t xml:space="preserve">la </w:t>
      </w:r>
      <w:r w:rsidR="00F5067C" w:rsidRPr="00F5067C">
        <w:t>remuneración salarial media por tramos de edad</w:t>
      </w:r>
      <w:r>
        <w:t xml:space="preserve"> </w:t>
      </w:r>
      <w:r w:rsidR="00ED6494">
        <w:t>de la que informa</w:t>
      </w:r>
      <w:r w:rsidR="00F5067C">
        <w:t xml:space="preserve"> el 60% de la muestra</w:t>
      </w:r>
      <w:r>
        <w:t>.</w:t>
      </w:r>
    </w:p>
    <w:p w14:paraId="2E58D3BF" w14:textId="183800C3" w:rsidR="00E32E86" w:rsidRDefault="00E32E86" w:rsidP="00797A62">
      <w:pPr>
        <w:jc w:val="both"/>
      </w:pPr>
      <w:r>
        <w:t xml:space="preserve">Por el contrario, los indicadores que menos se cumplen se refieren a </w:t>
      </w:r>
      <w:r w:rsidRPr="00797A62">
        <w:rPr>
          <w:i/>
        </w:rPr>
        <w:t>Preparación para el cambio de etapa,</w:t>
      </w:r>
      <w:r w:rsidRPr="00797A62">
        <w:t xml:space="preserve"> </w:t>
      </w:r>
      <w:r w:rsidRPr="00797A62">
        <w:rPr>
          <w:i/>
        </w:rPr>
        <w:t>Procesos de formación</w:t>
      </w:r>
      <w:r>
        <w:t xml:space="preserve"> y </w:t>
      </w:r>
      <w:r w:rsidRPr="00797A62">
        <w:rPr>
          <w:i/>
        </w:rPr>
        <w:t>Exigencia física y movilidad</w:t>
      </w:r>
      <w:r>
        <w:t xml:space="preserve">. El </w:t>
      </w:r>
      <w:r w:rsidR="00797A62">
        <w:t xml:space="preserve">primero, que solicita a las empresas que informen sobre los </w:t>
      </w:r>
      <w:r w:rsidR="00797A62" w:rsidRPr="00826768">
        <w:rPr>
          <w:b/>
        </w:rPr>
        <w:t>programas de sensibilización y de ayuda a la transición</w:t>
      </w:r>
      <w:r w:rsidR="00797A62">
        <w:t xml:space="preserve"> para la gestión final de las carreras profesionales por prejubilación, jubilación o despido</w:t>
      </w:r>
      <w:r w:rsidR="00625DE4">
        <w:t>,</w:t>
      </w:r>
      <w:r>
        <w:t xml:space="preserve"> es el único indicador que no cumple ninguna compañía, mientras que en el caso de los otros dos solo lo hace una empresa</w:t>
      </w:r>
      <w:r w:rsidR="00797A62">
        <w:t xml:space="preserve"> (Endesa y Red Eléctrica de España, respectivamente)</w:t>
      </w:r>
      <w:r>
        <w:t>.</w:t>
      </w:r>
    </w:p>
    <w:p w14:paraId="7346E8B6" w14:textId="77777777" w:rsidR="00625DE4" w:rsidRDefault="00625DE4" w:rsidP="00625DE4">
      <w:pPr>
        <w:jc w:val="both"/>
      </w:pPr>
      <w:r>
        <w:t xml:space="preserve">El informe destaca la volatilidad en cuanto a la información publicada, menor en el caso de algunos datos estadísticos, pero muy acusada en relación a las actuaciones, políticas y programas. El documento propone que se lleve a cabo un </w:t>
      </w:r>
      <w:proofErr w:type="spellStart"/>
      <w:r w:rsidRPr="00826768">
        <w:rPr>
          <w:b/>
          <w:i/>
        </w:rPr>
        <w:t>reporting</w:t>
      </w:r>
      <w:proofErr w:type="spellEnd"/>
      <w:r w:rsidRPr="00826768">
        <w:rPr>
          <w:b/>
        </w:rPr>
        <w:t xml:space="preserve"> anual estandarizado y público</w:t>
      </w:r>
      <w:r>
        <w:t xml:space="preserve"> sobre la gestión del talento sénior.</w:t>
      </w:r>
    </w:p>
    <w:p w14:paraId="2F59C469" w14:textId="7AFB628F" w:rsidR="004E35C0" w:rsidRDefault="00625DE4" w:rsidP="000B15F6">
      <w:pPr>
        <w:jc w:val="both"/>
      </w:pPr>
      <w:r>
        <w:lastRenderedPageBreak/>
        <w:t xml:space="preserve">Además, recuerda el papel tan importante que pueden jugar las empresas del </w:t>
      </w:r>
      <w:r w:rsidRPr="00826768">
        <w:rPr>
          <w:b/>
        </w:rPr>
        <w:t>IBEX 35 como líderes e impulsoras de una gestión igualitaria del talento sénior,</w:t>
      </w:r>
      <w:r>
        <w:t xml:space="preserve"> que sirva de modelo para todo el tejido empresarial español.</w:t>
      </w:r>
    </w:p>
    <w:p w14:paraId="5E1C4247" w14:textId="3614174E" w:rsidR="00826768" w:rsidRDefault="00826768" w:rsidP="00826768">
      <w:pPr>
        <w:jc w:val="both"/>
      </w:pPr>
      <w:r>
        <w:t>“</w:t>
      </w:r>
      <w:r w:rsidRPr="004E71F1">
        <w:t>Los movimientos a favor de este perfil de empleados todavía no se traducen en actuaciones favorables por parte de las compañías, por lo que en este terreno queda mucho recorrido para que las empresas sepa</w:t>
      </w:r>
      <w:r>
        <w:t xml:space="preserve">n valorar, cuidar y aprovechar </w:t>
      </w:r>
      <w:r w:rsidRPr="004E71F1">
        <w:t>los conocimientos y la experiencia de sus empleados más veteranos, en un entorno muy marcado por la evolución de la p</w:t>
      </w:r>
      <w:r>
        <w:t>irámide de edad de la población</w:t>
      </w:r>
      <w:r w:rsidRPr="004E71F1">
        <w:t>”</w:t>
      </w:r>
      <w:r>
        <w:t>, concluye Roca.</w:t>
      </w:r>
    </w:p>
    <w:p w14:paraId="06C8BD8B" w14:textId="77777777" w:rsidR="00826768" w:rsidRDefault="00826768" w:rsidP="00826768">
      <w:pPr>
        <w:jc w:val="both"/>
      </w:pPr>
    </w:p>
    <w:p w14:paraId="4E2F2D8E" w14:textId="77777777" w:rsidR="00ED6494" w:rsidRDefault="00ED6494" w:rsidP="000B15F6">
      <w:pPr>
        <w:jc w:val="both"/>
      </w:pPr>
    </w:p>
    <w:p w14:paraId="02F37AA7" w14:textId="77777777" w:rsidR="00ED6494" w:rsidRPr="001616D5" w:rsidRDefault="00ED6494" w:rsidP="000B15F6">
      <w:pPr>
        <w:jc w:val="both"/>
      </w:pPr>
    </w:p>
    <w:p w14:paraId="21D0BCA6" w14:textId="77777777" w:rsidR="00444A57" w:rsidRPr="00444A57" w:rsidRDefault="00444A57" w:rsidP="00444A57">
      <w:pPr>
        <w:jc w:val="both"/>
        <w:rPr>
          <w:b/>
          <w:color w:val="595959"/>
          <w:sz w:val="16"/>
          <w:u w:val="single"/>
        </w:rPr>
      </w:pPr>
      <w:r w:rsidRPr="00444A57">
        <w:rPr>
          <w:b/>
          <w:color w:val="595959"/>
          <w:sz w:val="16"/>
          <w:u w:val="single"/>
        </w:rPr>
        <w:t>Acerca de Fundación Compromiso y Transparencia</w:t>
      </w:r>
    </w:p>
    <w:p w14:paraId="5FE1F13D" w14:textId="77777777" w:rsidR="00444A57" w:rsidRPr="00255AE3" w:rsidRDefault="00444A57" w:rsidP="001665F5">
      <w:pPr>
        <w:rPr>
          <w:b/>
          <w:color w:val="595959"/>
          <w:sz w:val="16"/>
          <w:u w:val="single"/>
        </w:rPr>
      </w:pPr>
      <w:r w:rsidRPr="00444A57">
        <w:rPr>
          <w:color w:val="595959"/>
          <w:sz w:val="16"/>
        </w:rPr>
        <w:t>La Fundación Compromiso y Transparencia se constituyó en el año 2007 por un grupo de profesionales procedentes del mundo de la empresa, de la academia y del sector no lucrativo con la finalidad de f</w:t>
      </w:r>
      <w:r w:rsidRPr="00444A57">
        <w:rPr>
          <w:iCs/>
          <w:color w:val="595959"/>
          <w:sz w:val="16"/>
        </w:rPr>
        <w:t xml:space="preserve">ortalecer la confianza de la sociedad en las instituciones </w:t>
      </w:r>
      <w:r w:rsidR="00D04622">
        <w:rPr>
          <w:iCs/>
          <w:color w:val="595959"/>
          <w:sz w:val="16"/>
        </w:rPr>
        <w:t xml:space="preserve">y empresas </w:t>
      </w:r>
      <w:r w:rsidR="00D04622" w:rsidRPr="00D04622">
        <w:rPr>
          <w:iCs/>
          <w:color w:val="595959"/>
          <w:sz w:val="16"/>
        </w:rPr>
        <w:t>promoviendo la transparencia, el buen gobierno y el compromiso social</w:t>
      </w:r>
      <w:r w:rsidR="008C7BDD">
        <w:rPr>
          <w:color w:val="595959"/>
          <w:sz w:val="16"/>
        </w:rPr>
        <w:t>. W</w:t>
      </w:r>
      <w:r w:rsidRPr="00444A57">
        <w:rPr>
          <w:color w:val="595959"/>
          <w:sz w:val="16"/>
        </w:rPr>
        <w:t>eb</w:t>
      </w:r>
      <w:r w:rsidR="008C7BDD">
        <w:rPr>
          <w:color w:val="595959"/>
          <w:sz w:val="16"/>
        </w:rPr>
        <w:t>:</w:t>
      </w:r>
      <w:r w:rsidRPr="00444A57">
        <w:rPr>
          <w:color w:val="595959"/>
          <w:sz w:val="16"/>
        </w:rPr>
        <w:t xml:space="preserve"> </w:t>
      </w:r>
      <w:hyperlink r:id="rId11" w:history="1">
        <w:r w:rsidRPr="00444A57">
          <w:rPr>
            <w:rStyle w:val="Hyperlink"/>
            <w:sz w:val="16"/>
          </w:rPr>
          <w:t>www.compromisoytransparencia.com</w:t>
        </w:r>
      </w:hyperlink>
      <w:r w:rsidRPr="00444A57">
        <w:rPr>
          <w:color w:val="595959"/>
          <w:sz w:val="16"/>
        </w:rPr>
        <w:t xml:space="preserve"> </w:t>
      </w:r>
    </w:p>
    <w:p w14:paraId="79F08F31" w14:textId="234E8BCF" w:rsidR="008C7BDD" w:rsidRPr="008C7BDD" w:rsidRDefault="008C7BDD" w:rsidP="008C7BDD">
      <w:pPr>
        <w:rPr>
          <w:b/>
          <w:color w:val="595959"/>
          <w:sz w:val="16"/>
          <w:u w:val="single"/>
        </w:rPr>
      </w:pPr>
      <w:r w:rsidRPr="008C7BDD">
        <w:rPr>
          <w:b/>
          <w:color w:val="595959"/>
          <w:sz w:val="16"/>
          <w:u w:val="single"/>
        </w:rPr>
        <w:t>Acerca de itwillbe</w:t>
      </w:r>
      <w:r w:rsidR="00167D93">
        <w:rPr>
          <w:b/>
          <w:color w:val="595959"/>
          <w:sz w:val="16"/>
          <w:u w:val="single"/>
        </w:rPr>
        <w:t>.org</w:t>
      </w:r>
      <w:r w:rsidRPr="008C7BDD">
        <w:rPr>
          <w:b/>
          <w:color w:val="595959"/>
          <w:sz w:val="16"/>
          <w:u w:val="single"/>
        </w:rPr>
        <w:t xml:space="preserve"> </w:t>
      </w:r>
    </w:p>
    <w:p w14:paraId="1CB2496F" w14:textId="77777777" w:rsidR="008C7BDD" w:rsidRPr="008C7BDD" w:rsidRDefault="008C7BDD" w:rsidP="008C7BDD">
      <w:pPr>
        <w:rPr>
          <w:color w:val="595959"/>
          <w:sz w:val="16"/>
        </w:rPr>
      </w:pPr>
      <w:r w:rsidRPr="008C7BDD">
        <w:rPr>
          <w:color w:val="595959"/>
          <w:sz w:val="16"/>
        </w:rPr>
        <w:t>ONG de innovación social,</w:t>
      </w:r>
      <w:r>
        <w:rPr>
          <w:color w:val="595959"/>
          <w:sz w:val="16"/>
        </w:rPr>
        <w:t xml:space="preserve"> </w:t>
      </w:r>
      <w:r w:rsidRPr="008C7BDD">
        <w:rPr>
          <w:color w:val="595959"/>
          <w:sz w:val="16"/>
        </w:rPr>
        <w:t>que colabora en proyectos de cooperación</w:t>
      </w:r>
      <w:r>
        <w:rPr>
          <w:color w:val="595959"/>
          <w:sz w:val="16"/>
        </w:rPr>
        <w:t xml:space="preserve"> </w:t>
      </w:r>
      <w:r w:rsidRPr="008C7BDD">
        <w:rPr>
          <w:color w:val="595959"/>
          <w:sz w:val="16"/>
        </w:rPr>
        <w:t>internacional y educación para el desarrollo,</w:t>
      </w:r>
      <w:r>
        <w:rPr>
          <w:color w:val="595959"/>
          <w:sz w:val="16"/>
        </w:rPr>
        <w:t xml:space="preserve"> </w:t>
      </w:r>
      <w:r w:rsidRPr="008C7BDD">
        <w:rPr>
          <w:color w:val="595959"/>
          <w:sz w:val="16"/>
        </w:rPr>
        <w:t>aportando eficiencia y mejorando el impacto</w:t>
      </w:r>
      <w:r>
        <w:rPr>
          <w:color w:val="595959"/>
          <w:sz w:val="16"/>
        </w:rPr>
        <w:t xml:space="preserve"> </w:t>
      </w:r>
      <w:r w:rsidRPr="008C7BDD">
        <w:rPr>
          <w:color w:val="595959"/>
          <w:sz w:val="16"/>
        </w:rPr>
        <w:t>social. Trabaja desde 2008 por la defensa</w:t>
      </w:r>
      <w:r>
        <w:rPr>
          <w:color w:val="595959"/>
          <w:sz w:val="16"/>
        </w:rPr>
        <w:t xml:space="preserve"> </w:t>
      </w:r>
      <w:r w:rsidRPr="008C7BDD">
        <w:rPr>
          <w:color w:val="595959"/>
          <w:sz w:val="16"/>
        </w:rPr>
        <w:t>de los derechos humanos universales, con</w:t>
      </w:r>
      <w:r>
        <w:rPr>
          <w:color w:val="595959"/>
          <w:sz w:val="16"/>
        </w:rPr>
        <w:t xml:space="preserve"> </w:t>
      </w:r>
      <w:r w:rsidRPr="008C7BDD">
        <w:rPr>
          <w:color w:val="595959"/>
          <w:sz w:val="16"/>
        </w:rPr>
        <w:t>especial incidencia en la infancia e igualdad</w:t>
      </w:r>
      <w:r>
        <w:rPr>
          <w:color w:val="595959"/>
          <w:sz w:val="16"/>
        </w:rPr>
        <w:t xml:space="preserve"> </w:t>
      </w:r>
      <w:r w:rsidRPr="008C7BDD">
        <w:rPr>
          <w:color w:val="595959"/>
          <w:sz w:val="16"/>
        </w:rPr>
        <w:t>de género. Siempre bajo la premisa de la</w:t>
      </w:r>
      <w:r>
        <w:rPr>
          <w:color w:val="595959"/>
          <w:sz w:val="16"/>
        </w:rPr>
        <w:t xml:space="preserve"> </w:t>
      </w:r>
      <w:r w:rsidRPr="008C7BDD">
        <w:rPr>
          <w:color w:val="595959"/>
          <w:sz w:val="16"/>
        </w:rPr>
        <w:t>escalabilidad y sostenibilidad de proyecto.</w:t>
      </w:r>
    </w:p>
    <w:p w14:paraId="7EB7D9E6" w14:textId="77777777" w:rsidR="008C7BDD" w:rsidRPr="008C7BDD" w:rsidRDefault="008C7BDD" w:rsidP="008C7BDD">
      <w:pPr>
        <w:rPr>
          <w:b/>
          <w:color w:val="595959"/>
          <w:sz w:val="16"/>
          <w:u w:val="single"/>
        </w:rPr>
      </w:pPr>
      <w:r w:rsidRPr="008C7BDD">
        <w:rPr>
          <w:b/>
          <w:color w:val="595959"/>
          <w:sz w:val="16"/>
          <w:u w:val="single"/>
        </w:rPr>
        <w:t xml:space="preserve">Acerca de Fundación </w:t>
      </w:r>
      <w:proofErr w:type="spellStart"/>
      <w:r w:rsidRPr="008C7BDD">
        <w:rPr>
          <w:b/>
          <w:color w:val="595959"/>
          <w:sz w:val="16"/>
          <w:u w:val="single"/>
        </w:rPr>
        <w:t>Knowdle</w:t>
      </w:r>
      <w:proofErr w:type="spellEnd"/>
      <w:r w:rsidRPr="008C7BDD">
        <w:rPr>
          <w:b/>
          <w:color w:val="595959"/>
          <w:sz w:val="16"/>
          <w:u w:val="single"/>
        </w:rPr>
        <w:t xml:space="preserve"> </w:t>
      </w:r>
    </w:p>
    <w:p w14:paraId="6E2F3DB2" w14:textId="77777777" w:rsidR="008C7BDD" w:rsidRDefault="006955E8" w:rsidP="008C7BDD">
      <w:pPr>
        <w:rPr>
          <w:color w:val="595959"/>
          <w:sz w:val="16"/>
        </w:rPr>
      </w:pPr>
      <w:r>
        <w:rPr>
          <w:color w:val="595959"/>
          <w:sz w:val="16"/>
        </w:rPr>
        <w:t xml:space="preserve">La </w:t>
      </w:r>
      <w:r w:rsidR="008C7BDD" w:rsidRPr="008C7BDD">
        <w:rPr>
          <w:color w:val="595959"/>
          <w:sz w:val="16"/>
        </w:rPr>
        <w:t xml:space="preserve">Fundación </w:t>
      </w:r>
      <w:proofErr w:type="spellStart"/>
      <w:r w:rsidR="008C7BDD" w:rsidRPr="008C7BDD">
        <w:rPr>
          <w:color w:val="595959"/>
          <w:sz w:val="16"/>
        </w:rPr>
        <w:t>Knowdle</w:t>
      </w:r>
      <w:proofErr w:type="spellEnd"/>
      <w:r w:rsidR="008C7BDD" w:rsidRPr="008C7BDD">
        <w:rPr>
          <w:color w:val="595959"/>
          <w:sz w:val="16"/>
        </w:rPr>
        <w:t xml:space="preserve"> se centra en el</w:t>
      </w:r>
      <w:r w:rsidR="008C7BDD">
        <w:rPr>
          <w:color w:val="595959"/>
          <w:sz w:val="16"/>
        </w:rPr>
        <w:t xml:space="preserve"> </w:t>
      </w:r>
      <w:r w:rsidR="008C7BDD" w:rsidRPr="008C7BDD">
        <w:rPr>
          <w:color w:val="595959"/>
          <w:sz w:val="16"/>
        </w:rPr>
        <w:t>desarrollo de algoritmos y soluciones de</w:t>
      </w:r>
      <w:r w:rsidR="008C7BDD">
        <w:rPr>
          <w:color w:val="595959"/>
          <w:sz w:val="16"/>
        </w:rPr>
        <w:t xml:space="preserve"> </w:t>
      </w:r>
      <w:r w:rsidR="008C7BDD" w:rsidRPr="008C7BDD">
        <w:rPr>
          <w:color w:val="595959"/>
          <w:sz w:val="16"/>
        </w:rPr>
        <w:t>Inteligencia Artificial/Colectiva para detectar</w:t>
      </w:r>
      <w:r w:rsidR="008C7BDD">
        <w:rPr>
          <w:color w:val="595959"/>
          <w:sz w:val="16"/>
        </w:rPr>
        <w:t xml:space="preserve"> </w:t>
      </w:r>
      <w:r w:rsidR="008C7BDD" w:rsidRPr="008C7BDD">
        <w:rPr>
          <w:color w:val="595959"/>
          <w:sz w:val="16"/>
        </w:rPr>
        <w:t>y aprovechar los datos que se generan en la</w:t>
      </w:r>
      <w:r w:rsidR="008C7BDD">
        <w:rPr>
          <w:color w:val="595959"/>
          <w:sz w:val="16"/>
        </w:rPr>
        <w:t xml:space="preserve"> </w:t>
      </w:r>
      <w:r w:rsidR="008C7BDD" w:rsidRPr="008C7BDD">
        <w:rPr>
          <w:color w:val="595959"/>
          <w:sz w:val="16"/>
        </w:rPr>
        <w:t>interacción de los usuarios con contenidos,</w:t>
      </w:r>
      <w:r w:rsidR="008C7BDD">
        <w:rPr>
          <w:color w:val="595959"/>
          <w:sz w:val="16"/>
        </w:rPr>
        <w:t xml:space="preserve"> </w:t>
      </w:r>
      <w:r w:rsidR="008C7BDD" w:rsidRPr="008C7BDD">
        <w:rPr>
          <w:color w:val="595959"/>
          <w:sz w:val="16"/>
        </w:rPr>
        <w:t>aplicaciones y servicios digitales. Ello permite</w:t>
      </w:r>
      <w:r w:rsidR="008C7BDD">
        <w:rPr>
          <w:color w:val="595959"/>
          <w:sz w:val="16"/>
        </w:rPr>
        <w:t xml:space="preserve"> </w:t>
      </w:r>
      <w:r w:rsidR="008C7BDD" w:rsidRPr="008C7BDD">
        <w:rPr>
          <w:color w:val="595959"/>
          <w:sz w:val="16"/>
        </w:rPr>
        <w:t>conocer y entender su perfil y ofrecerles e</w:t>
      </w:r>
      <w:r w:rsidR="008C7BDD">
        <w:rPr>
          <w:color w:val="595959"/>
          <w:sz w:val="16"/>
        </w:rPr>
        <w:t xml:space="preserve"> </w:t>
      </w:r>
      <w:r w:rsidR="008C7BDD" w:rsidRPr="008C7BDD">
        <w:rPr>
          <w:color w:val="595959"/>
          <w:sz w:val="16"/>
        </w:rPr>
        <w:t>inspirarles aquello que realmente quieren o</w:t>
      </w:r>
      <w:r w:rsidR="008C7BDD">
        <w:rPr>
          <w:color w:val="595959"/>
          <w:sz w:val="16"/>
        </w:rPr>
        <w:t xml:space="preserve"> </w:t>
      </w:r>
      <w:r w:rsidR="008C7BDD" w:rsidRPr="008C7BDD">
        <w:rPr>
          <w:color w:val="595959"/>
          <w:sz w:val="16"/>
        </w:rPr>
        <w:t>necesitan.</w:t>
      </w:r>
    </w:p>
    <w:p w14:paraId="129C064A" w14:textId="77777777" w:rsidR="00854226" w:rsidRDefault="00854226" w:rsidP="008C7BDD">
      <w:pPr>
        <w:rPr>
          <w:color w:val="595959"/>
          <w:sz w:val="16"/>
        </w:rPr>
      </w:pPr>
    </w:p>
    <w:p w14:paraId="06A9F836" w14:textId="77777777" w:rsidR="008C7BDD" w:rsidRDefault="008C7BDD" w:rsidP="008C7BDD">
      <w:pPr>
        <w:rPr>
          <w:color w:val="595959"/>
          <w:sz w:val="16"/>
        </w:rPr>
      </w:pPr>
      <w:r w:rsidRPr="00444A57">
        <w:rPr>
          <w:b/>
          <w:color w:val="595959"/>
          <w:sz w:val="16"/>
          <w:u w:val="single"/>
        </w:rPr>
        <w:t>Más información</w:t>
      </w:r>
      <w:r w:rsidRPr="00444A57">
        <w:rPr>
          <w:b/>
          <w:color w:val="595959"/>
          <w:sz w:val="16"/>
          <w:u w:val="single"/>
        </w:rPr>
        <w:br/>
      </w:r>
      <w:r w:rsidRPr="00444A57">
        <w:rPr>
          <w:color w:val="595959"/>
          <w:sz w:val="16"/>
        </w:rPr>
        <w:t>Esther Barrio</w:t>
      </w:r>
      <w:r>
        <w:rPr>
          <w:color w:val="595959"/>
          <w:sz w:val="16"/>
        </w:rPr>
        <w:t xml:space="preserve"> / </w:t>
      </w:r>
      <w:hyperlink r:id="rId12" w:history="1">
        <w:r w:rsidRPr="00444A57">
          <w:rPr>
            <w:rStyle w:val="Hyperlink"/>
            <w:color w:val="595959"/>
            <w:sz w:val="16"/>
          </w:rPr>
          <w:t>ebarrio@compromisoempresarial.com</w:t>
        </w:r>
      </w:hyperlink>
      <w:r>
        <w:rPr>
          <w:rStyle w:val="Hyperlink"/>
          <w:color w:val="595959"/>
          <w:sz w:val="16"/>
        </w:rPr>
        <w:t xml:space="preserve"> /</w:t>
      </w:r>
      <w:r w:rsidRPr="008C7BDD">
        <w:rPr>
          <w:rStyle w:val="Hyperlink"/>
          <w:color w:val="595959"/>
          <w:sz w:val="16"/>
          <w:u w:val="none"/>
        </w:rPr>
        <w:t xml:space="preserve"> </w:t>
      </w:r>
      <w:proofErr w:type="spellStart"/>
      <w:r>
        <w:rPr>
          <w:rStyle w:val="Hyperlink"/>
          <w:color w:val="595959"/>
          <w:sz w:val="16"/>
          <w:u w:val="none"/>
        </w:rPr>
        <w:t>Tfno</w:t>
      </w:r>
      <w:proofErr w:type="spellEnd"/>
      <w:r>
        <w:rPr>
          <w:rStyle w:val="Hyperlink"/>
          <w:color w:val="595959"/>
          <w:sz w:val="16"/>
          <w:u w:val="none"/>
        </w:rPr>
        <w:t>:</w:t>
      </w:r>
      <w:r w:rsidRPr="00255AE3">
        <w:rPr>
          <w:rStyle w:val="Hyperlink"/>
          <w:color w:val="595959"/>
          <w:sz w:val="16"/>
          <w:u w:val="none"/>
        </w:rPr>
        <w:t xml:space="preserve"> </w:t>
      </w:r>
      <w:r w:rsidRPr="00444A57">
        <w:rPr>
          <w:color w:val="595959"/>
          <w:sz w:val="16"/>
        </w:rPr>
        <w:t>650 38 23 35</w:t>
      </w:r>
    </w:p>
    <w:p w14:paraId="41A3F35A" w14:textId="77777777" w:rsidR="008C7BDD" w:rsidRPr="00EF4915" w:rsidRDefault="008C7BDD" w:rsidP="008C7BDD">
      <w:pPr>
        <w:rPr>
          <w:color w:val="595959"/>
          <w:sz w:val="16"/>
        </w:rPr>
      </w:pPr>
    </w:p>
    <w:sectPr w:rsidR="008C7BDD" w:rsidRPr="00EF4915" w:rsidSect="00663A9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C065" w14:textId="77777777" w:rsidR="007C09F1" w:rsidRDefault="007C09F1" w:rsidP="00700076">
      <w:pPr>
        <w:spacing w:after="0" w:line="240" w:lineRule="auto"/>
      </w:pPr>
      <w:r>
        <w:separator/>
      </w:r>
    </w:p>
  </w:endnote>
  <w:endnote w:type="continuationSeparator" w:id="0">
    <w:p w14:paraId="048A6F90" w14:textId="77777777" w:rsidR="007C09F1" w:rsidRDefault="007C09F1" w:rsidP="0070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8EF0" w14:textId="77777777" w:rsidR="007C09F1" w:rsidRDefault="007C09F1" w:rsidP="00700076">
      <w:pPr>
        <w:spacing w:after="0" w:line="240" w:lineRule="auto"/>
      </w:pPr>
      <w:r>
        <w:separator/>
      </w:r>
    </w:p>
  </w:footnote>
  <w:footnote w:type="continuationSeparator" w:id="0">
    <w:p w14:paraId="274CEBE0" w14:textId="77777777" w:rsidR="007C09F1" w:rsidRDefault="007C09F1" w:rsidP="0070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FA14" w14:textId="77777777" w:rsidR="00700076" w:rsidRDefault="00700076" w:rsidP="00700076">
    <w:pPr>
      <w:pStyle w:val="Header"/>
      <w:rPr>
        <w:b/>
      </w:rPr>
    </w:pPr>
    <w:r w:rsidRPr="00563FAA">
      <w:rPr>
        <w:b/>
        <w:noProof/>
        <w:lang w:eastAsia="es-ES"/>
      </w:rPr>
      <w:drawing>
        <wp:anchor distT="0" distB="0" distL="114300" distR="114300" simplePos="0" relativeHeight="251659264" behindDoc="0" locked="0" layoutInCell="1" allowOverlap="1" wp14:anchorId="28750911" wp14:editId="2CE986C0">
          <wp:simplePos x="0" y="0"/>
          <wp:positionH relativeFrom="column">
            <wp:posOffset>3340100</wp:posOffset>
          </wp:positionH>
          <wp:positionV relativeFrom="paragraph">
            <wp:posOffset>-314960</wp:posOffset>
          </wp:positionV>
          <wp:extent cx="2054225" cy="582930"/>
          <wp:effectExtent l="0" t="0" r="0" b="0"/>
          <wp:wrapSquare wrapText="bothSides"/>
          <wp:docPr id="1" name="Imagen 1"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2054225" cy="582930"/>
                  </a:xfrm>
                  <a:prstGeom prst="rect">
                    <a:avLst/>
                  </a:prstGeom>
                  <a:noFill/>
                  <a:ln>
                    <a:noFill/>
                  </a:ln>
                  <a:extLst>
                    <a:ext uri="{53640926-AAD7-44D8-BBD7-CCE9431645EC}">
                      <a14:shadowObscured xmlns:a14="http://schemas.microsoft.com/office/drawing/2010/main"/>
                    </a:ext>
                  </a:extLst>
                </pic:spPr>
              </pic:pic>
            </a:graphicData>
          </a:graphic>
        </wp:anchor>
      </w:drawing>
    </w:r>
    <w:r w:rsidRPr="00563FAA">
      <w:rPr>
        <w:b/>
      </w:rPr>
      <w:t>NOTA DE PRENSA</w:t>
    </w:r>
  </w:p>
  <w:p w14:paraId="30AF9E85" w14:textId="77777777" w:rsidR="00700076" w:rsidRPr="00700076" w:rsidRDefault="00700076" w:rsidP="00700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57D"/>
    <w:multiLevelType w:val="hybridMultilevel"/>
    <w:tmpl w:val="B5E25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952EF"/>
    <w:multiLevelType w:val="hybridMultilevel"/>
    <w:tmpl w:val="CFD82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D108E"/>
    <w:multiLevelType w:val="hybridMultilevel"/>
    <w:tmpl w:val="61AC596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E7634"/>
    <w:multiLevelType w:val="hybridMultilevel"/>
    <w:tmpl w:val="6F98B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87526"/>
    <w:multiLevelType w:val="hybridMultilevel"/>
    <w:tmpl w:val="DB246EB0"/>
    <w:lvl w:ilvl="0" w:tplc="A1CCA4F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FE68F3"/>
    <w:multiLevelType w:val="hybridMultilevel"/>
    <w:tmpl w:val="E6141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900DD4"/>
    <w:multiLevelType w:val="hybridMultilevel"/>
    <w:tmpl w:val="4C689434"/>
    <w:lvl w:ilvl="0" w:tplc="162853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78E5EE4"/>
    <w:multiLevelType w:val="hybridMultilevel"/>
    <w:tmpl w:val="4712D8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6"/>
    <w:rsid w:val="000067D0"/>
    <w:rsid w:val="00007D28"/>
    <w:rsid w:val="00011503"/>
    <w:rsid w:val="000117DB"/>
    <w:rsid w:val="00030267"/>
    <w:rsid w:val="00041682"/>
    <w:rsid w:val="00054951"/>
    <w:rsid w:val="00056F01"/>
    <w:rsid w:val="00062025"/>
    <w:rsid w:val="00062C18"/>
    <w:rsid w:val="00075AA1"/>
    <w:rsid w:val="00077AAE"/>
    <w:rsid w:val="00080F0B"/>
    <w:rsid w:val="00081E84"/>
    <w:rsid w:val="000A207C"/>
    <w:rsid w:val="000B15F6"/>
    <w:rsid w:val="000B255D"/>
    <w:rsid w:val="000C0430"/>
    <w:rsid w:val="000E47FE"/>
    <w:rsid w:val="00133195"/>
    <w:rsid w:val="00136531"/>
    <w:rsid w:val="00145C73"/>
    <w:rsid w:val="00145DEA"/>
    <w:rsid w:val="00146575"/>
    <w:rsid w:val="001616D5"/>
    <w:rsid w:val="00165D5D"/>
    <w:rsid w:val="001665F5"/>
    <w:rsid w:val="00167D93"/>
    <w:rsid w:val="00174988"/>
    <w:rsid w:val="00176200"/>
    <w:rsid w:val="00191CD1"/>
    <w:rsid w:val="001A1F87"/>
    <w:rsid w:val="001B7909"/>
    <w:rsid w:val="001E1B5B"/>
    <w:rsid w:val="001E23F7"/>
    <w:rsid w:val="001E424F"/>
    <w:rsid w:val="002033CB"/>
    <w:rsid w:val="00223B1E"/>
    <w:rsid w:val="00230176"/>
    <w:rsid w:val="002370BC"/>
    <w:rsid w:val="002473D0"/>
    <w:rsid w:val="002504D6"/>
    <w:rsid w:val="00251200"/>
    <w:rsid w:val="00255AE3"/>
    <w:rsid w:val="00255B02"/>
    <w:rsid w:val="00256F3C"/>
    <w:rsid w:val="002626FC"/>
    <w:rsid w:val="00274562"/>
    <w:rsid w:val="00276A50"/>
    <w:rsid w:val="002922B5"/>
    <w:rsid w:val="00294DFA"/>
    <w:rsid w:val="002D1E7C"/>
    <w:rsid w:val="002D49DA"/>
    <w:rsid w:val="002D593B"/>
    <w:rsid w:val="002E10EB"/>
    <w:rsid w:val="003002D8"/>
    <w:rsid w:val="00327DA6"/>
    <w:rsid w:val="00345D18"/>
    <w:rsid w:val="00360EF6"/>
    <w:rsid w:val="00380A76"/>
    <w:rsid w:val="00387337"/>
    <w:rsid w:val="00394BAD"/>
    <w:rsid w:val="003B20E8"/>
    <w:rsid w:val="003B344F"/>
    <w:rsid w:val="003B3C9A"/>
    <w:rsid w:val="003C0422"/>
    <w:rsid w:val="003C135B"/>
    <w:rsid w:val="003C5E8E"/>
    <w:rsid w:val="003D0B90"/>
    <w:rsid w:val="003F16E1"/>
    <w:rsid w:val="003F4ECA"/>
    <w:rsid w:val="00405A8E"/>
    <w:rsid w:val="00423182"/>
    <w:rsid w:val="00433EBC"/>
    <w:rsid w:val="00444A57"/>
    <w:rsid w:val="004503EA"/>
    <w:rsid w:val="0045055F"/>
    <w:rsid w:val="004633CA"/>
    <w:rsid w:val="00476045"/>
    <w:rsid w:val="004777A3"/>
    <w:rsid w:val="00477FEE"/>
    <w:rsid w:val="004A0C47"/>
    <w:rsid w:val="004A1B2D"/>
    <w:rsid w:val="004B50AE"/>
    <w:rsid w:val="004D09CF"/>
    <w:rsid w:val="004D0B9D"/>
    <w:rsid w:val="004E35C0"/>
    <w:rsid w:val="004E71F1"/>
    <w:rsid w:val="004F4FC4"/>
    <w:rsid w:val="004F7FD5"/>
    <w:rsid w:val="005027E0"/>
    <w:rsid w:val="005055A7"/>
    <w:rsid w:val="00506E36"/>
    <w:rsid w:val="005235F5"/>
    <w:rsid w:val="00527600"/>
    <w:rsid w:val="005338AA"/>
    <w:rsid w:val="00533D08"/>
    <w:rsid w:val="00535F2C"/>
    <w:rsid w:val="005411DB"/>
    <w:rsid w:val="00542241"/>
    <w:rsid w:val="005453A2"/>
    <w:rsid w:val="00546CB1"/>
    <w:rsid w:val="00551A5B"/>
    <w:rsid w:val="00554C27"/>
    <w:rsid w:val="005563BC"/>
    <w:rsid w:val="005619B6"/>
    <w:rsid w:val="00562558"/>
    <w:rsid w:val="00566CE7"/>
    <w:rsid w:val="0057323B"/>
    <w:rsid w:val="005956E8"/>
    <w:rsid w:val="00595B76"/>
    <w:rsid w:val="005A094E"/>
    <w:rsid w:val="005B568D"/>
    <w:rsid w:val="005C0D73"/>
    <w:rsid w:val="005D2BAB"/>
    <w:rsid w:val="005D45B1"/>
    <w:rsid w:val="005D5209"/>
    <w:rsid w:val="005E3FC3"/>
    <w:rsid w:val="005F1367"/>
    <w:rsid w:val="005F4B5B"/>
    <w:rsid w:val="00625DE4"/>
    <w:rsid w:val="006279F5"/>
    <w:rsid w:val="0063489D"/>
    <w:rsid w:val="00641262"/>
    <w:rsid w:val="00642720"/>
    <w:rsid w:val="00643488"/>
    <w:rsid w:val="00647D6F"/>
    <w:rsid w:val="00652C78"/>
    <w:rsid w:val="00663A94"/>
    <w:rsid w:val="00670C21"/>
    <w:rsid w:val="00683FA2"/>
    <w:rsid w:val="00683FF3"/>
    <w:rsid w:val="0069067B"/>
    <w:rsid w:val="006955E8"/>
    <w:rsid w:val="006957F1"/>
    <w:rsid w:val="006A1F42"/>
    <w:rsid w:val="006B4DAA"/>
    <w:rsid w:val="006B7C6D"/>
    <w:rsid w:val="006C0889"/>
    <w:rsid w:val="006D0949"/>
    <w:rsid w:val="006D65E9"/>
    <w:rsid w:val="006F5844"/>
    <w:rsid w:val="00700076"/>
    <w:rsid w:val="007006F2"/>
    <w:rsid w:val="007030E4"/>
    <w:rsid w:val="00705288"/>
    <w:rsid w:val="00721465"/>
    <w:rsid w:val="00730E51"/>
    <w:rsid w:val="00750634"/>
    <w:rsid w:val="00751A91"/>
    <w:rsid w:val="00755B9A"/>
    <w:rsid w:val="00757A85"/>
    <w:rsid w:val="00772F17"/>
    <w:rsid w:val="00774480"/>
    <w:rsid w:val="00776E1B"/>
    <w:rsid w:val="007878D3"/>
    <w:rsid w:val="00797A62"/>
    <w:rsid w:val="007A018D"/>
    <w:rsid w:val="007C09F1"/>
    <w:rsid w:val="007C3303"/>
    <w:rsid w:val="007C49FA"/>
    <w:rsid w:val="007D19EF"/>
    <w:rsid w:val="007D72C9"/>
    <w:rsid w:val="007E48D4"/>
    <w:rsid w:val="007F175C"/>
    <w:rsid w:val="007F6D7E"/>
    <w:rsid w:val="007F7165"/>
    <w:rsid w:val="00805CD3"/>
    <w:rsid w:val="0081136C"/>
    <w:rsid w:val="00815DAE"/>
    <w:rsid w:val="008167B4"/>
    <w:rsid w:val="00817F90"/>
    <w:rsid w:val="00823A9A"/>
    <w:rsid w:val="00824D14"/>
    <w:rsid w:val="00826768"/>
    <w:rsid w:val="00854226"/>
    <w:rsid w:val="00854E93"/>
    <w:rsid w:val="00874C1F"/>
    <w:rsid w:val="00883134"/>
    <w:rsid w:val="008910F5"/>
    <w:rsid w:val="008C60DF"/>
    <w:rsid w:val="008C7BDD"/>
    <w:rsid w:val="008D4EF5"/>
    <w:rsid w:val="008D4FF3"/>
    <w:rsid w:val="008D79AE"/>
    <w:rsid w:val="008E284A"/>
    <w:rsid w:val="008F761D"/>
    <w:rsid w:val="009004D7"/>
    <w:rsid w:val="009078DB"/>
    <w:rsid w:val="00922A6E"/>
    <w:rsid w:val="00930643"/>
    <w:rsid w:val="009416BC"/>
    <w:rsid w:val="00942D01"/>
    <w:rsid w:val="00943E60"/>
    <w:rsid w:val="009445B4"/>
    <w:rsid w:val="00945EBF"/>
    <w:rsid w:val="00960932"/>
    <w:rsid w:val="00982AAD"/>
    <w:rsid w:val="00986845"/>
    <w:rsid w:val="00987B29"/>
    <w:rsid w:val="009A7E4A"/>
    <w:rsid w:val="009C487A"/>
    <w:rsid w:val="009F14F4"/>
    <w:rsid w:val="009F3217"/>
    <w:rsid w:val="009F6376"/>
    <w:rsid w:val="00A052F6"/>
    <w:rsid w:val="00A15587"/>
    <w:rsid w:val="00A40BDC"/>
    <w:rsid w:val="00A4159F"/>
    <w:rsid w:val="00A607F5"/>
    <w:rsid w:val="00A6585D"/>
    <w:rsid w:val="00A679F7"/>
    <w:rsid w:val="00A67C9C"/>
    <w:rsid w:val="00A8115D"/>
    <w:rsid w:val="00A86FD0"/>
    <w:rsid w:val="00AB7C18"/>
    <w:rsid w:val="00AD2675"/>
    <w:rsid w:val="00B00BA8"/>
    <w:rsid w:val="00B01688"/>
    <w:rsid w:val="00B05BD2"/>
    <w:rsid w:val="00B114E6"/>
    <w:rsid w:val="00B305EE"/>
    <w:rsid w:val="00B35E10"/>
    <w:rsid w:val="00B4133E"/>
    <w:rsid w:val="00B5171B"/>
    <w:rsid w:val="00B80F86"/>
    <w:rsid w:val="00B820CD"/>
    <w:rsid w:val="00B87C05"/>
    <w:rsid w:val="00B923F2"/>
    <w:rsid w:val="00B93305"/>
    <w:rsid w:val="00B964C9"/>
    <w:rsid w:val="00BA536A"/>
    <w:rsid w:val="00BB70BA"/>
    <w:rsid w:val="00BC058C"/>
    <w:rsid w:val="00BC57D4"/>
    <w:rsid w:val="00C01DBC"/>
    <w:rsid w:val="00C14794"/>
    <w:rsid w:val="00C14951"/>
    <w:rsid w:val="00C2260B"/>
    <w:rsid w:val="00C34C9C"/>
    <w:rsid w:val="00C35BA5"/>
    <w:rsid w:val="00C36DF4"/>
    <w:rsid w:val="00C40645"/>
    <w:rsid w:val="00C43753"/>
    <w:rsid w:val="00C52709"/>
    <w:rsid w:val="00C628F3"/>
    <w:rsid w:val="00C652BA"/>
    <w:rsid w:val="00C8093C"/>
    <w:rsid w:val="00C871A9"/>
    <w:rsid w:val="00C87378"/>
    <w:rsid w:val="00CA768D"/>
    <w:rsid w:val="00CB086E"/>
    <w:rsid w:val="00CD0348"/>
    <w:rsid w:val="00CF4210"/>
    <w:rsid w:val="00D01204"/>
    <w:rsid w:val="00D04622"/>
    <w:rsid w:val="00D101BE"/>
    <w:rsid w:val="00D37A6A"/>
    <w:rsid w:val="00D4121F"/>
    <w:rsid w:val="00D471F6"/>
    <w:rsid w:val="00D564A2"/>
    <w:rsid w:val="00D924D0"/>
    <w:rsid w:val="00DA1D27"/>
    <w:rsid w:val="00DA492C"/>
    <w:rsid w:val="00DB351F"/>
    <w:rsid w:val="00DE7429"/>
    <w:rsid w:val="00DF1927"/>
    <w:rsid w:val="00DF1BC3"/>
    <w:rsid w:val="00E0034C"/>
    <w:rsid w:val="00E039FA"/>
    <w:rsid w:val="00E244A1"/>
    <w:rsid w:val="00E25B32"/>
    <w:rsid w:val="00E32E86"/>
    <w:rsid w:val="00E41824"/>
    <w:rsid w:val="00E5066D"/>
    <w:rsid w:val="00E565F4"/>
    <w:rsid w:val="00E67075"/>
    <w:rsid w:val="00E6769C"/>
    <w:rsid w:val="00E67CDE"/>
    <w:rsid w:val="00E85B6D"/>
    <w:rsid w:val="00E870D8"/>
    <w:rsid w:val="00EA1BCF"/>
    <w:rsid w:val="00EA2C34"/>
    <w:rsid w:val="00EB7EBD"/>
    <w:rsid w:val="00ED0351"/>
    <w:rsid w:val="00ED5C3E"/>
    <w:rsid w:val="00ED6494"/>
    <w:rsid w:val="00EE0C0F"/>
    <w:rsid w:val="00EF2296"/>
    <w:rsid w:val="00EF4915"/>
    <w:rsid w:val="00EF5065"/>
    <w:rsid w:val="00F00092"/>
    <w:rsid w:val="00F01159"/>
    <w:rsid w:val="00F12C6B"/>
    <w:rsid w:val="00F2088A"/>
    <w:rsid w:val="00F21C5D"/>
    <w:rsid w:val="00F22E90"/>
    <w:rsid w:val="00F25771"/>
    <w:rsid w:val="00F34055"/>
    <w:rsid w:val="00F37A2A"/>
    <w:rsid w:val="00F4581A"/>
    <w:rsid w:val="00F45C76"/>
    <w:rsid w:val="00F5067C"/>
    <w:rsid w:val="00F546A0"/>
    <w:rsid w:val="00F66689"/>
    <w:rsid w:val="00F735BF"/>
    <w:rsid w:val="00F9692F"/>
    <w:rsid w:val="00FA36EB"/>
    <w:rsid w:val="00FA5B08"/>
    <w:rsid w:val="00FC3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93EF"/>
  <w15:docId w15:val="{99847A8D-296E-4461-9EE2-48151582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0076"/>
  </w:style>
  <w:style w:type="paragraph" w:styleId="Footer">
    <w:name w:val="footer"/>
    <w:basedOn w:val="Normal"/>
    <w:link w:val="FooterChar"/>
    <w:uiPriority w:val="99"/>
    <w:unhideWhenUsed/>
    <w:rsid w:val="007000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0076"/>
  </w:style>
  <w:style w:type="paragraph" w:styleId="ListParagraph">
    <w:name w:val="List Paragraph"/>
    <w:basedOn w:val="Normal"/>
    <w:uiPriority w:val="34"/>
    <w:qFormat/>
    <w:rsid w:val="00700076"/>
    <w:pPr>
      <w:ind w:left="720"/>
      <w:contextualSpacing/>
    </w:pPr>
  </w:style>
  <w:style w:type="character" w:styleId="Hyperlink">
    <w:name w:val="Hyperlink"/>
    <w:basedOn w:val="DefaultParagraphFont"/>
    <w:uiPriority w:val="99"/>
    <w:unhideWhenUsed/>
    <w:rsid w:val="00700076"/>
    <w:rPr>
      <w:color w:val="0563C1" w:themeColor="hyperlink"/>
      <w:u w:val="single"/>
    </w:rPr>
  </w:style>
  <w:style w:type="paragraph" w:styleId="EndnoteText">
    <w:name w:val="endnote text"/>
    <w:basedOn w:val="Normal"/>
    <w:link w:val="EndnoteTextChar"/>
    <w:uiPriority w:val="99"/>
    <w:semiHidden/>
    <w:unhideWhenUsed/>
    <w:rsid w:val="001E2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3F7"/>
    <w:rPr>
      <w:sz w:val="20"/>
      <w:szCs w:val="20"/>
    </w:rPr>
  </w:style>
  <w:style w:type="character" w:styleId="EndnoteReference">
    <w:name w:val="endnote reference"/>
    <w:basedOn w:val="DefaultParagraphFont"/>
    <w:uiPriority w:val="99"/>
    <w:semiHidden/>
    <w:unhideWhenUsed/>
    <w:rsid w:val="001E23F7"/>
    <w:rPr>
      <w:vertAlign w:val="superscript"/>
    </w:rPr>
  </w:style>
  <w:style w:type="character" w:styleId="FollowedHyperlink">
    <w:name w:val="FollowedHyperlink"/>
    <w:basedOn w:val="DefaultParagraphFont"/>
    <w:uiPriority w:val="99"/>
    <w:semiHidden/>
    <w:unhideWhenUsed/>
    <w:rsid w:val="00387337"/>
    <w:rPr>
      <w:color w:val="954F72" w:themeColor="followedHyperlink"/>
      <w:u w:val="single"/>
    </w:rPr>
  </w:style>
  <w:style w:type="paragraph" w:styleId="FootnoteText">
    <w:name w:val="footnote text"/>
    <w:basedOn w:val="Normal"/>
    <w:link w:val="FootnoteTextChar"/>
    <w:uiPriority w:val="99"/>
    <w:semiHidden/>
    <w:unhideWhenUsed/>
    <w:rsid w:val="00011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503"/>
    <w:rPr>
      <w:sz w:val="20"/>
      <w:szCs w:val="20"/>
    </w:rPr>
  </w:style>
  <w:style w:type="character" w:styleId="FootnoteReference">
    <w:name w:val="footnote reference"/>
    <w:basedOn w:val="DefaultParagraphFont"/>
    <w:uiPriority w:val="99"/>
    <w:semiHidden/>
    <w:unhideWhenUsed/>
    <w:rsid w:val="00011503"/>
    <w:rPr>
      <w:vertAlign w:val="superscript"/>
    </w:rPr>
  </w:style>
  <w:style w:type="character" w:customStyle="1" w:styleId="UnresolvedMention">
    <w:name w:val="Unresolved Mention"/>
    <w:basedOn w:val="DefaultParagraphFont"/>
    <w:uiPriority w:val="99"/>
    <w:semiHidden/>
    <w:unhideWhenUsed/>
    <w:rsid w:val="00854226"/>
    <w:rPr>
      <w:color w:val="605E5C"/>
      <w:shd w:val="clear" w:color="auto" w:fill="E1DFDD"/>
    </w:rPr>
  </w:style>
  <w:style w:type="paragraph" w:styleId="BalloonText">
    <w:name w:val="Balloon Text"/>
    <w:basedOn w:val="Normal"/>
    <w:link w:val="BalloonTextChar"/>
    <w:uiPriority w:val="99"/>
    <w:semiHidden/>
    <w:unhideWhenUsed/>
    <w:rsid w:val="00BA5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223">
      <w:bodyDiv w:val="1"/>
      <w:marLeft w:val="0"/>
      <w:marRight w:val="0"/>
      <w:marTop w:val="0"/>
      <w:marBottom w:val="0"/>
      <w:divBdr>
        <w:top w:val="none" w:sz="0" w:space="0" w:color="auto"/>
        <w:left w:val="none" w:sz="0" w:space="0" w:color="auto"/>
        <w:bottom w:val="none" w:sz="0" w:space="0" w:color="auto"/>
        <w:right w:val="none" w:sz="0" w:space="0" w:color="auto"/>
      </w:divBdr>
    </w:div>
    <w:div w:id="210770568">
      <w:bodyDiv w:val="1"/>
      <w:marLeft w:val="0"/>
      <w:marRight w:val="0"/>
      <w:marTop w:val="0"/>
      <w:marBottom w:val="0"/>
      <w:divBdr>
        <w:top w:val="none" w:sz="0" w:space="0" w:color="auto"/>
        <w:left w:val="none" w:sz="0" w:space="0" w:color="auto"/>
        <w:bottom w:val="none" w:sz="0" w:space="0" w:color="auto"/>
        <w:right w:val="none" w:sz="0" w:space="0" w:color="auto"/>
      </w:divBdr>
    </w:div>
    <w:div w:id="263153646">
      <w:bodyDiv w:val="1"/>
      <w:marLeft w:val="0"/>
      <w:marRight w:val="0"/>
      <w:marTop w:val="0"/>
      <w:marBottom w:val="0"/>
      <w:divBdr>
        <w:top w:val="none" w:sz="0" w:space="0" w:color="auto"/>
        <w:left w:val="none" w:sz="0" w:space="0" w:color="auto"/>
        <w:bottom w:val="none" w:sz="0" w:space="0" w:color="auto"/>
        <w:right w:val="none" w:sz="0" w:space="0" w:color="auto"/>
      </w:divBdr>
    </w:div>
    <w:div w:id="289748327">
      <w:bodyDiv w:val="1"/>
      <w:marLeft w:val="0"/>
      <w:marRight w:val="0"/>
      <w:marTop w:val="0"/>
      <w:marBottom w:val="0"/>
      <w:divBdr>
        <w:top w:val="none" w:sz="0" w:space="0" w:color="auto"/>
        <w:left w:val="none" w:sz="0" w:space="0" w:color="auto"/>
        <w:bottom w:val="none" w:sz="0" w:space="0" w:color="auto"/>
        <w:right w:val="none" w:sz="0" w:space="0" w:color="auto"/>
      </w:divBdr>
    </w:div>
    <w:div w:id="495001713">
      <w:bodyDiv w:val="1"/>
      <w:marLeft w:val="0"/>
      <w:marRight w:val="0"/>
      <w:marTop w:val="0"/>
      <w:marBottom w:val="0"/>
      <w:divBdr>
        <w:top w:val="none" w:sz="0" w:space="0" w:color="auto"/>
        <w:left w:val="none" w:sz="0" w:space="0" w:color="auto"/>
        <w:bottom w:val="none" w:sz="0" w:space="0" w:color="auto"/>
        <w:right w:val="none" w:sz="0" w:space="0" w:color="auto"/>
      </w:divBdr>
    </w:div>
    <w:div w:id="591594670">
      <w:bodyDiv w:val="1"/>
      <w:marLeft w:val="0"/>
      <w:marRight w:val="0"/>
      <w:marTop w:val="0"/>
      <w:marBottom w:val="0"/>
      <w:divBdr>
        <w:top w:val="none" w:sz="0" w:space="0" w:color="auto"/>
        <w:left w:val="none" w:sz="0" w:space="0" w:color="auto"/>
        <w:bottom w:val="none" w:sz="0" w:space="0" w:color="auto"/>
        <w:right w:val="none" w:sz="0" w:space="0" w:color="auto"/>
      </w:divBdr>
    </w:div>
    <w:div w:id="642808625">
      <w:bodyDiv w:val="1"/>
      <w:marLeft w:val="0"/>
      <w:marRight w:val="0"/>
      <w:marTop w:val="0"/>
      <w:marBottom w:val="0"/>
      <w:divBdr>
        <w:top w:val="none" w:sz="0" w:space="0" w:color="auto"/>
        <w:left w:val="none" w:sz="0" w:space="0" w:color="auto"/>
        <w:bottom w:val="none" w:sz="0" w:space="0" w:color="auto"/>
        <w:right w:val="none" w:sz="0" w:space="0" w:color="auto"/>
      </w:divBdr>
    </w:div>
    <w:div w:id="754016625">
      <w:bodyDiv w:val="1"/>
      <w:marLeft w:val="0"/>
      <w:marRight w:val="0"/>
      <w:marTop w:val="0"/>
      <w:marBottom w:val="0"/>
      <w:divBdr>
        <w:top w:val="none" w:sz="0" w:space="0" w:color="auto"/>
        <w:left w:val="none" w:sz="0" w:space="0" w:color="auto"/>
        <w:bottom w:val="none" w:sz="0" w:space="0" w:color="auto"/>
        <w:right w:val="none" w:sz="0" w:space="0" w:color="auto"/>
      </w:divBdr>
    </w:div>
    <w:div w:id="878203370">
      <w:bodyDiv w:val="1"/>
      <w:marLeft w:val="0"/>
      <w:marRight w:val="0"/>
      <w:marTop w:val="0"/>
      <w:marBottom w:val="0"/>
      <w:divBdr>
        <w:top w:val="none" w:sz="0" w:space="0" w:color="auto"/>
        <w:left w:val="none" w:sz="0" w:space="0" w:color="auto"/>
        <w:bottom w:val="none" w:sz="0" w:space="0" w:color="auto"/>
        <w:right w:val="none" w:sz="0" w:space="0" w:color="auto"/>
      </w:divBdr>
    </w:div>
    <w:div w:id="878276052">
      <w:bodyDiv w:val="1"/>
      <w:marLeft w:val="0"/>
      <w:marRight w:val="0"/>
      <w:marTop w:val="0"/>
      <w:marBottom w:val="0"/>
      <w:divBdr>
        <w:top w:val="none" w:sz="0" w:space="0" w:color="auto"/>
        <w:left w:val="none" w:sz="0" w:space="0" w:color="auto"/>
        <w:bottom w:val="none" w:sz="0" w:space="0" w:color="auto"/>
        <w:right w:val="none" w:sz="0" w:space="0" w:color="auto"/>
      </w:divBdr>
    </w:div>
    <w:div w:id="894780612">
      <w:bodyDiv w:val="1"/>
      <w:marLeft w:val="0"/>
      <w:marRight w:val="0"/>
      <w:marTop w:val="0"/>
      <w:marBottom w:val="0"/>
      <w:divBdr>
        <w:top w:val="none" w:sz="0" w:space="0" w:color="auto"/>
        <w:left w:val="none" w:sz="0" w:space="0" w:color="auto"/>
        <w:bottom w:val="none" w:sz="0" w:space="0" w:color="auto"/>
        <w:right w:val="none" w:sz="0" w:space="0" w:color="auto"/>
      </w:divBdr>
    </w:div>
    <w:div w:id="1107114023">
      <w:bodyDiv w:val="1"/>
      <w:marLeft w:val="0"/>
      <w:marRight w:val="0"/>
      <w:marTop w:val="0"/>
      <w:marBottom w:val="0"/>
      <w:divBdr>
        <w:top w:val="none" w:sz="0" w:space="0" w:color="auto"/>
        <w:left w:val="none" w:sz="0" w:space="0" w:color="auto"/>
        <w:bottom w:val="none" w:sz="0" w:space="0" w:color="auto"/>
        <w:right w:val="none" w:sz="0" w:space="0" w:color="auto"/>
      </w:divBdr>
    </w:div>
    <w:div w:id="1246568430">
      <w:bodyDiv w:val="1"/>
      <w:marLeft w:val="0"/>
      <w:marRight w:val="0"/>
      <w:marTop w:val="0"/>
      <w:marBottom w:val="0"/>
      <w:divBdr>
        <w:top w:val="none" w:sz="0" w:space="0" w:color="auto"/>
        <w:left w:val="none" w:sz="0" w:space="0" w:color="auto"/>
        <w:bottom w:val="none" w:sz="0" w:space="0" w:color="auto"/>
        <w:right w:val="none" w:sz="0" w:space="0" w:color="auto"/>
      </w:divBdr>
    </w:div>
    <w:div w:id="1437142187">
      <w:bodyDiv w:val="1"/>
      <w:marLeft w:val="0"/>
      <w:marRight w:val="0"/>
      <w:marTop w:val="0"/>
      <w:marBottom w:val="0"/>
      <w:divBdr>
        <w:top w:val="none" w:sz="0" w:space="0" w:color="auto"/>
        <w:left w:val="none" w:sz="0" w:space="0" w:color="auto"/>
        <w:bottom w:val="none" w:sz="0" w:space="0" w:color="auto"/>
        <w:right w:val="none" w:sz="0" w:space="0" w:color="auto"/>
      </w:divBdr>
    </w:div>
    <w:div w:id="1474446993">
      <w:bodyDiv w:val="1"/>
      <w:marLeft w:val="0"/>
      <w:marRight w:val="0"/>
      <w:marTop w:val="0"/>
      <w:marBottom w:val="0"/>
      <w:divBdr>
        <w:top w:val="none" w:sz="0" w:space="0" w:color="auto"/>
        <w:left w:val="none" w:sz="0" w:space="0" w:color="auto"/>
        <w:bottom w:val="none" w:sz="0" w:space="0" w:color="auto"/>
        <w:right w:val="none" w:sz="0" w:space="0" w:color="auto"/>
      </w:divBdr>
    </w:div>
    <w:div w:id="1807548803">
      <w:bodyDiv w:val="1"/>
      <w:marLeft w:val="0"/>
      <w:marRight w:val="0"/>
      <w:marTop w:val="0"/>
      <w:marBottom w:val="0"/>
      <w:divBdr>
        <w:top w:val="none" w:sz="0" w:space="0" w:color="auto"/>
        <w:left w:val="none" w:sz="0" w:space="0" w:color="auto"/>
        <w:bottom w:val="none" w:sz="0" w:space="0" w:color="auto"/>
        <w:right w:val="none" w:sz="0" w:space="0" w:color="auto"/>
      </w:divBdr>
    </w:div>
    <w:div w:id="1869289578">
      <w:bodyDiv w:val="1"/>
      <w:marLeft w:val="0"/>
      <w:marRight w:val="0"/>
      <w:marTop w:val="0"/>
      <w:marBottom w:val="0"/>
      <w:divBdr>
        <w:top w:val="none" w:sz="0" w:space="0" w:color="auto"/>
        <w:left w:val="none" w:sz="0" w:space="0" w:color="auto"/>
        <w:bottom w:val="none" w:sz="0" w:space="0" w:color="auto"/>
        <w:right w:val="none" w:sz="0" w:space="0" w:color="auto"/>
      </w:divBdr>
    </w:div>
    <w:div w:id="1873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omisoytransparencia.com/tematicas-indicadores/gestion-del-talento-seni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io@compromisoempresari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omisoytransparenc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compromisoytransparenc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3C30-F4C0-4B59-83FC-71900616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1179</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Barrio</dc:creator>
  <cp:lastModifiedBy>Esther Barrio Medina</cp:lastModifiedBy>
  <cp:revision>4</cp:revision>
  <dcterms:created xsi:type="dcterms:W3CDTF">2020-02-04T16:27:00Z</dcterms:created>
  <dcterms:modified xsi:type="dcterms:W3CDTF">2020-02-06T10:49:00Z</dcterms:modified>
</cp:coreProperties>
</file>