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6D" w:rsidRPr="006E38BE" w:rsidRDefault="00A1660E" w:rsidP="00D07041">
      <w:pPr>
        <w:jc w:val="center"/>
        <w:rPr>
          <w:sz w:val="24"/>
          <w:szCs w:val="28"/>
        </w:rPr>
      </w:pPr>
      <w:r>
        <w:rPr>
          <w:i/>
          <w:sz w:val="24"/>
          <w:szCs w:val="28"/>
        </w:rPr>
        <w:t>Según el informe “Reinventado los</w:t>
      </w:r>
      <w:r w:rsidR="0075596D" w:rsidRPr="006E38BE">
        <w:rPr>
          <w:i/>
          <w:sz w:val="24"/>
          <w:szCs w:val="28"/>
        </w:rPr>
        <w:t xml:space="preserve"> Consejo</w:t>
      </w:r>
      <w:r>
        <w:rPr>
          <w:i/>
          <w:sz w:val="24"/>
          <w:szCs w:val="28"/>
        </w:rPr>
        <w:t>s</w:t>
      </w:r>
      <w:r w:rsidR="0075596D" w:rsidRPr="006E38BE">
        <w:rPr>
          <w:i/>
          <w:sz w:val="24"/>
          <w:szCs w:val="28"/>
        </w:rPr>
        <w:t>”, elaborado por la Fundación Compromiso y Transparencia</w:t>
      </w:r>
    </w:p>
    <w:p w:rsidR="00AE2625" w:rsidRPr="006E38BE" w:rsidRDefault="00AE2625" w:rsidP="00AB43F4">
      <w:pPr>
        <w:jc w:val="both"/>
        <w:rPr>
          <w:b/>
          <w:sz w:val="32"/>
          <w:szCs w:val="32"/>
        </w:rPr>
      </w:pPr>
      <w:r w:rsidRPr="006E38BE">
        <w:rPr>
          <w:b/>
          <w:sz w:val="32"/>
          <w:szCs w:val="32"/>
        </w:rPr>
        <w:t xml:space="preserve">Las empresas del IBEX 35 suspenden en la rendición de cuentas y transparencia </w:t>
      </w:r>
      <w:r w:rsidR="0075596D" w:rsidRPr="00B6197A">
        <w:rPr>
          <w:b/>
          <w:sz w:val="32"/>
          <w:szCs w:val="32"/>
        </w:rPr>
        <w:t>en la web</w:t>
      </w:r>
      <w:r w:rsidR="0075596D" w:rsidRPr="006E38BE">
        <w:rPr>
          <w:b/>
          <w:sz w:val="32"/>
          <w:szCs w:val="32"/>
        </w:rPr>
        <w:t xml:space="preserve"> sobre buen gobierno</w:t>
      </w:r>
    </w:p>
    <w:p w:rsidR="00AE2625" w:rsidRPr="006E38BE" w:rsidRDefault="00AE2625" w:rsidP="00AB43F4">
      <w:pPr>
        <w:jc w:val="both"/>
        <w:rPr>
          <w:i/>
          <w:sz w:val="32"/>
          <w:szCs w:val="32"/>
        </w:rPr>
      </w:pPr>
    </w:p>
    <w:p w:rsidR="00AE2625" w:rsidRPr="006E38BE" w:rsidRDefault="00AE2625" w:rsidP="00AB43F4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 w:rsidRPr="006E38BE">
        <w:rPr>
          <w:sz w:val="24"/>
          <w:szCs w:val="28"/>
        </w:rPr>
        <w:t xml:space="preserve">El informe </w:t>
      </w:r>
      <w:r w:rsidRPr="006E38BE">
        <w:rPr>
          <w:i/>
          <w:sz w:val="24"/>
          <w:szCs w:val="28"/>
        </w:rPr>
        <w:t xml:space="preserve">Reinventando </w:t>
      </w:r>
      <w:r w:rsidR="00A1660E">
        <w:rPr>
          <w:i/>
          <w:sz w:val="24"/>
          <w:szCs w:val="28"/>
        </w:rPr>
        <w:t>los</w:t>
      </w:r>
      <w:r w:rsidRPr="006E38BE">
        <w:rPr>
          <w:i/>
          <w:sz w:val="24"/>
          <w:szCs w:val="28"/>
        </w:rPr>
        <w:t xml:space="preserve"> Consejo</w:t>
      </w:r>
      <w:r w:rsidR="00A1660E">
        <w:rPr>
          <w:i/>
          <w:sz w:val="24"/>
          <w:szCs w:val="28"/>
        </w:rPr>
        <w:t>s</w:t>
      </w:r>
      <w:r w:rsidRPr="006E38BE">
        <w:rPr>
          <w:sz w:val="24"/>
          <w:szCs w:val="28"/>
        </w:rPr>
        <w:t xml:space="preserve"> analiza la transparencia voluntaria en la web de las empresas del IBEX 35 de acuerdo con 26 indicadores sobre buen gobierno agrupados en diez áreas</w:t>
      </w:r>
    </w:p>
    <w:p w:rsidR="00AE2625" w:rsidRPr="006E38BE" w:rsidRDefault="00AE2625" w:rsidP="00AB43F4">
      <w:pPr>
        <w:pStyle w:val="Prrafodelista"/>
        <w:jc w:val="both"/>
        <w:rPr>
          <w:sz w:val="24"/>
          <w:szCs w:val="28"/>
        </w:rPr>
      </w:pPr>
    </w:p>
    <w:p w:rsidR="00AE2625" w:rsidRPr="006E38BE" w:rsidRDefault="00AE2625" w:rsidP="00AB43F4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 w:rsidRPr="006E38BE">
        <w:rPr>
          <w:sz w:val="24"/>
          <w:szCs w:val="28"/>
        </w:rPr>
        <w:t xml:space="preserve">Ninguna de las empresas analizadas consigue el aprobado. Iberdrola la compañía que mejores resultados obtiene (con un 44 sobre 100) seguidas de Bankinter, BME y DIA. </w:t>
      </w:r>
    </w:p>
    <w:p w:rsidR="00AE2625" w:rsidRPr="006E38BE" w:rsidRDefault="00AE2625" w:rsidP="002D030E">
      <w:pPr>
        <w:pStyle w:val="Prrafodelista"/>
        <w:ind w:left="0"/>
        <w:jc w:val="both"/>
        <w:rPr>
          <w:sz w:val="24"/>
          <w:szCs w:val="28"/>
        </w:rPr>
      </w:pPr>
    </w:p>
    <w:p w:rsidR="00AE2625" w:rsidRPr="00B6197A" w:rsidRDefault="001D6F5B" w:rsidP="00AB43F4">
      <w:pPr>
        <w:pStyle w:val="Prrafodelista"/>
        <w:numPr>
          <w:ilvl w:val="0"/>
          <w:numId w:val="1"/>
        </w:numPr>
        <w:jc w:val="both"/>
        <w:rPr>
          <w:sz w:val="24"/>
          <w:szCs w:val="28"/>
        </w:rPr>
      </w:pPr>
      <w:r w:rsidRPr="00B6197A">
        <w:rPr>
          <w:sz w:val="24"/>
          <w:szCs w:val="28"/>
        </w:rPr>
        <w:t xml:space="preserve">La publicación del informe coincide con la reciente decisión de constituir un grupo de expertos para reformar el actual </w:t>
      </w:r>
      <w:r w:rsidRPr="00B6197A">
        <w:rPr>
          <w:b/>
          <w:sz w:val="24"/>
          <w:szCs w:val="28"/>
        </w:rPr>
        <w:t xml:space="preserve">Código Unificado, </w:t>
      </w:r>
      <w:r w:rsidRPr="00B6197A">
        <w:rPr>
          <w:sz w:val="24"/>
          <w:szCs w:val="28"/>
        </w:rPr>
        <w:t>que r</w:t>
      </w:r>
      <w:r w:rsidR="00B6197A" w:rsidRPr="00B6197A">
        <w:rPr>
          <w:sz w:val="24"/>
          <w:szCs w:val="28"/>
        </w:rPr>
        <w:t>esulta insuficiente.</w:t>
      </w:r>
    </w:p>
    <w:p w:rsidR="00AE2625" w:rsidRPr="006E38BE" w:rsidRDefault="00AE2625" w:rsidP="002D030E">
      <w:pPr>
        <w:pStyle w:val="Prrafodelista"/>
        <w:jc w:val="both"/>
        <w:rPr>
          <w:sz w:val="28"/>
          <w:szCs w:val="28"/>
        </w:rPr>
      </w:pPr>
    </w:p>
    <w:p w:rsidR="00AE2625" w:rsidRPr="006E38BE" w:rsidRDefault="00AE2625" w:rsidP="002D030E">
      <w:pPr>
        <w:pStyle w:val="Prrafodelista"/>
        <w:jc w:val="both"/>
        <w:rPr>
          <w:sz w:val="28"/>
          <w:szCs w:val="28"/>
        </w:rPr>
      </w:pPr>
    </w:p>
    <w:p w:rsidR="006818DD" w:rsidRDefault="0075596D" w:rsidP="00B6197A">
      <w:pPr>
        <w:pStyle w:val="Prrafodelista"/>
        <w:ind w:left="-180"/>
        <w:jc w:val="both"/>
        <w:rPr>
          <w:sz w:val="24"/>
          <w:szCs w:val="24"/>
        </w:rPr>
      </w:pPr>
      <w:r w:rsidRPr="006E38BE">
        <w:rPr>
          <w:b/>
          <w:sz w:val="24"/>
          <w:szCs w:val="24"/>
        </w:rPr>
        <w:t>Madrid, 1</w:t>
      </w:r>
      <w:r w:rsidR="0022378F">
        <w:rPr>
          <w:b/>
          <w:sz w:val="24"/>
          <w:szCs w:val="24"/>
        </w:rPr>
        <w:t>2</w:t>
      </w:r>
      <w:r w:rsidRPr="006E38BE">
        <w:rPr>
          <w:b/>
          <w:sz w:val="24"/>
          <w:szCs w:val="24"/>
        </w:rPr>
        <w:t xml:space="preserve"> de junio de 2013.</w:t>
      </w:r>
      <w:r w:rsidRPr="006E38BE">
        <w:rPr>
          <w:sz w:val="24"/>
          <w:szCs w:val="24"/>
        </w:rPr>
        <w:t xml:space="preserve"> </w:t>
      </w:r>
      <w:r w:rsidR="00AE2625" w:rsidRPr="006E38BE">
        <w:rPr>
          <w:sz w:val="24"/>
          <w:szCs w:val="24"/>
        </w:rPr>
        <w:t xml:space="preserve">La </w:t>
      </w:r>
      <w:hyperlink r:id="rId7" w:history="1">
        <w:r w:rsidR="00AE2625" w:rsidRPr="00E14C91">
          <w:rPr>
            <w:rStyle w:val="Hipervnculo"/>
            <w:b/>
            <w:sz w:val="24"/>
            <w:szCs w:val="24"/>
          </w:rPr>
          <w:t>Fundación Compromiso y Transparencia</w:t>
        </w:r>
      </w:hyperlink>
      <w:bookmarkStart w:id="0" w:name="_GoBack"/>
      <w:bookmarkEnd w:id="0"/>
      <w:r w:rsidR="00AE2625" w:rsidRPr="006E38BE">
        <w:rPr>
          <w:sz w:val="24"/>
          <w:szCs w:val="24"/>
        </w:rPr>
        <w:t xml:space="preserve"> ha hecho público el informe </w:t>
      </w:r>
      <w:hyperlink r:id="rId8" w:history="1">
        <w:r w:rsidR="00AE2625" w:rsidRPr="00D54D94">
          <w:rPr>
            <w:rStyle w:val="Hipervnculo"/>
            <w:i/>
            <w:sz w:val="24"/>
            <w:szCs w:val="24"/>
          </w:rPr>
          <w:t xml:space="preserve">Reinventando </w:t>
        </w:r>
        <w:r w:rsidR="00A1660E" w:rsidRPr="00D54D94">
          <w:rPr>
            <w:rStyle w:val="Hipervnculo"/>
            <w:i/>
            <w:sz w:val="24"/>
            <w:szCs w:val="24"/>
          </w:rPr>
          <w:t>los</w:t>
        </w:r>
        <w:r w:rsidR="00AE2625" w:rsidRPr="00D54D94">
          <w:rPr>
            <w:rStyle w:val="Hipervnculo"/>
            <w:i/>
            <w:sz w:val="24"/>
            <w:szCs w:val="24"/>
          </w:rPr>
          <w:t xml:space="preserve"> Consejo</w:t>
        </w:r>
        <w:r w:rsidR="00A1660E" w:rsidRPr="00D54D94">
          <w:rPr>
            <w:rStyle w:val="Hipervnculo"/>
            <w:i/>
            <w:sz w:val="24"/>
            <w:szCs w:val="24"/>
          </w:rPr>
          <w:t>s</w:t>
        </w:r>
        <w:r w:rsidR="00AE2625" w:rsidRPr="00D54D94">
          <w:rPr>
            <w:rStyle w:val="Hipervnculo"/>
            <w:i/>
            <w:sz w:val="24"/>
            <w:szCs w:val="24"/>
          </w:rPr>
          <w:t>. Transparencia voluntaria en la web de las empresas del IBEX 35</w:t>
        </w:r>
      </w:hyperlink>
      <w:r w:rsidR="00AE2625" w:rsidRPr="006E38BE">
        <w:rPr>
          <w:sz w:val="24"/>
          <w:szCs w:val="24"/>
        </w:rPr>
        <w:t xml:space="preserve"> </w:t>
      </w:r>
      <w:r w:rsidR="001D6F5B" w:rsidRPr="00B6197A">
        <w:rPr>
          <w:sz w:val="24"/>
          <w:szCs w:val="24"/>
        </w:rPr>
        <w:t xml:space="preserve">(disponible en </w:t>
      </w:r>
      <w:hyperlink r:id="rId9" w:history="1">
        <w:r w:rsidR="001D6F5B" w:rsidRPr="00A1660E">
          <w:rPr>
            <w:rStyle w:val="Hipervnculo"/>
            <w:sz w:val="24"/>
            <w:szCs w:val="24"/>
          </w:rPr>
          <w:t>Compromisoytransparencia.com</w:t>
        </w:r>
      </w:hyperlink>
      <w:r w:rsidR="001D6F5B" w:rsidRPr="00B6197A">
        <w:rPr>
          <w:sz w:val="24"/>
          <w:szCs w:val="24"/>
        </w:rPr>
        <w:t xml:space="preserve"> o </w:t>
      </w:r>
      <w:hyperlink r:id="rId10" w:history="1">
        <w:r w:rsidR="001D6F5B" w:rsidRPr="00A1660E">
          <w:rPr>
            <w:rStyle w:val="Hipervnculo"/>
            <w:sz w:val="24"/>
            <w:szCs w:val="24"/>
          </w:rPr>
          <w:t>Compromisoempresarial.com</w:t>
        </w:r>
      </w:hyperlink>
      <w:r w:rsidR="001D6F5B" w:rsidRPr="00B6197A">
        <w:rPr>
          <w:sz w:val="24"/>
          <w:szCs w:val="24"/>
        </w:rPr>
        <w:t>)</w:t>
      </w:r>
      <w:r w:rsidR="001D6F5B" w:rsidRPr="006E38BE">
        <w:rPr>
          <w:color w:val="FF0000"/>
          <w:sz w:val="24"/>
          <w:szCs w:val="24"/>
        </w:rPr>
        <w:t xml:space="preserve"> </w:t>
      </w:r>
      <w:r w:rsidR="00AE2625" w:rsidRPr="006E38BE">
        <w:rPr>
          <w:sz w:val="24"/>
          <w:szCs w:val="24"/>
        </w:rPr>
        <w:t xml:space="preserve">en el que analiza la información que proporcionan a través de la web las empresas del IBEX 35 sobre aspectos relacionados con el buen gobierno. </w:t>
      </w:r>
    </w:p>
    <w:p w:rsidR="00B6197A" w:rsidRPr="006E38BE" w:rsidRDefault="00B6197A" w:rsidP="00B6197A">
      <w:pPr>
        <w:pStyle w:val="Prrafodelista"/>
        <w:ind w:left="-180"/>
        <w:jc w:val="both"/>
        <w:rPr>
          <w:sz w:val="24"/>
          <w:szCs w:val="24"/>
        </w:rPr>
      </w:pPr>
    </w:p>
    <w:p w:rsidR="00AE2625" w:rsidRPr="006E38BE" w:rsidRDefault="00AE2625" w:rsidP="0075596D">
      <w:pPr>
        <w:pStyle w:val="Prrafodelista"/>
        <w:ind w:left="-180"/>
        <w:jc w:val="both"/>
        <w:rPr>
          <w:sz w:val="24"/>
          <w:szCs w:val="24"/>
        </w:rPr>
      </w:pPr>
      <w:r w:rsidRPr="006E38BE">
        <w:rPr>
          <w:sz w:val="24"/>
          <w:szCs w:val="24"/>
        </w:rPr>
        <w:t xml:space="preserve">Entre los resultados destacan los siguientes: ninguna empresa informa del tiempo y dedicación de los consejeros a temas de </w:t>
      </w:r>
      <w:r w:rsidRPr="006E38BE">
        <w:rPr>
          <w:i/>
          <w:sz w:val="24"/>
          <w:szCs w:val="24"/>
        </w:rPr>
        <w:t>estrategia y supervisión</w:t>
      </w:r>
      <w:r w:rsidRPr="006E38BE">
        <w:rPr>
          <w:sz w:val="24"/>
          <w:szCs w:val="24"/>
        </w:rPr>
        <w:t xml:space="preserve">, sólo el 29% de las empresas (nueve empresas) cumplen la recomendación de establecer una neta </w:t>
      </w:r>
      <w:r w:rsidRPr="006E38BE">
        <w:rPr>
          <w:i/>
          <w:sz w:val="24"/>
          <w:szCs w:val="24"/>
        </w:rPr>
        <w:t>separación de poderes</w:t>
      </w:r>
      <w:r w:rsidRPr="006E38BE">
        <w:rPr>
          <w:sz w:val="24"/>
          <w:szCs w:val="24"/>
        </w:rPr>
        <w:t xml:space="preserve"> entre el presidente del consejo de administración, con la exclusiva misión de dirigir el consejo y el primer ejecutivo (consejero delegado o director general), encargado de dirigir el equipo de dirección. Sólo </w:t>
      </w:r>
      <w:r w:rsidRPr="006E38BE">
        <w:rPr>
          <w:b/>
          <w:sz w:val="24"/>
          <w:szCs w:val="24"/>
        </w:rPr>
        <w:t>Iberdrola</w:t>
      </w:r>
      <w:r w:rsidRPr="006E38BE">
        <w:rPr>
          <w:sz w:val="24"/>
          <w:szCs w:val="24"/>
        </w:rPr>
        <w:t xml:space="preserve"> proporciona información sobre las características y resultados de la </w:t>
      </w:r>
      <w:r w:rsidRPr="006E38BE">
        <w:rPr>
          <w:i/>
          <w:sz w:val="24"/>
          <w:szCs w:val="24"/>
        </w:rPr>
        <w:t>evaluación del consejo</w:t>
      </w:r>
      <w:r w:rsidRPr="006E38BE">
        <w:rPr>
          <w:sz w:val="24"/>
          <w:szCs w:val="24"/>
        </w:rPr>
        <w:t xml:space="preserve">; ninguna empresa proporciona información sobre los </w:t>
      </w:r>
      <w:r w:rsidRPr="006E38BE">
        <w:rPr>
          <w:i/>
          <w:sz w:val="24"/>
          <w:szCs w:val="24"/>
        </w:rPr>
        <w:t>planes de sucesión</w:t>
      </w:r>
      <w:r w:rsidRPr="006E38BE">
        <w:rPr>
          <w:sz w:val="24"/>
          <w:szCs w:val="24"/>
        </w:rPr>
        <w:t xml:space="preserve"> de los consejeros y primeros ejecutivos; ninguna empresa proporciona información sobre la </w:t>
      </w:r>
      <w:r w:rsidRPr="006E38BE">
        <w:rPr>
          <w:i/>
          <w:sz w:val="24"/>
          <w:szCs w:val="24"/>
        </w:rPr>
        <w:t>remuneración individualizada de la alta dirección</w:t>
      </w:r>
      <w:r w:rsidRPr="006E38BE">
        <w:rPr>
          <w:sz w:val="24"/>
          <w:szCs w:val="24"/>
        </w:rPr>
        <w:t xml:space="preserve">; sólo el </w:t>
      </w:r>
      <w:r w:rsidRPr="006E38BE">
        <w:rPr>
          <w:b/>
          <w:sz w:val="24"/>
          <w:szCs w:val="24"/>
        </w:rPr>
        <w:t xml:space="preserve">Banco de Santander </w:t>
      </w:r>
      <w:r w:rsidRPr="006E38BE">
        <w:rPr>
          <w:sz w:val="24"/>
          <w:szCs w:val="24"/>
        </w:rPr>
        <w:t xml:space="preserve">proporciona información sobre la </w:t>
      </w:r>
      <w:r w:rsidRPr="006E38BE">
        <w:rPr>
          <w:i/>
          <w:sz w:val="24"/>
          <w:szCs w:val="24"/>
        </w:rPr>
        <w:t>formación impartida a los consejeros</w:t>
      </w:r>
      <w:r w:rsidRPr="006E38BE">
        <w:rPr>
          <w:sz w:val="24"/>
          <w:szCs w:val="24"/>
        </w:rPr>
        <w:t>. Sólo 11 empresas (</w:t>
      </w:r>
      <w:r w:rsidRPr="006E38BE">
        <w:rPr>
          <w:b/>
          <w:sz w:val="24"/>
          <w:szCs w:val="24"/>
        </w:rPr>
        <w:t xml:space="preserve">Bankinter, DIA, FCC, Gamesa, Iberdrola, IAG, Banco Popular, REE, Repsol, Sabadell </w:t>
      </w:r>
      <w:r w:rsidRPr="006E38BE">
        <w:rPr>
          <w:sz w:val="24"/>
          <w:szCs w:val="24"/>
        </w:rPr>
        <w:t>y</w:t>
      </w:r>
      <w:r w:rsidRPr="006E38BE">
        <w:rPr>
          <w:b/>
          <w:sz w:val="24"/>
          <w:szCs w:val="24"/>
        </w:rPr>
        <w:t xml:space="preserve"> Sacyr</w:t>
      </w:r>
      <w:r w:rsidRPr="006E38BE">
        <w:rPr>
          <w:sz w:val="24"/>
          <w:szCs w:val="24"/>
        </w:rPr>
        <w:t xml:space="preserve">), o lo que es igual </w:t>
      </w:r>
      <w:r w:rsidRPr="006E38BE">
        <w:rPr>
          <w:sz w:val="24"/>
          <w:szCs w:val="24"/>
        </w:rPr>
        <w:lastRenderedPageBreak/>
        <w:t xml:space="preserve">un 32% de la muestra, proporcionan información sobre las medidas positivas que están tomando para impulsar una </w:t>
      </w:r>
      <w:r w:rsidRPr="006E38BE">
        <w:rPr>
          <w:i/>
          <w:sz w:val="24"/>
          <w:szCs w:val="24"/>
        </w:rPr>
        <w:t>mayor presencia de las mujeres en el órgano de gobierno.</w:t>
      </w:r>
    </w:p>
    <w:p w:rsidR="00AE2625" w:rsidRPr="006E38BE" w:rsidRDefault="00AE2625" w:rsidP="009E7511">
      <w:pPr>
        <w:pStyle w:val="Prrafodelista"/>
        <w:ind w:left="-180"/>
        <w:jc w:val="both"/>
        <w:rPr>
          <w:sz w:val="24"/>
          <w:szCs w:val="24"/>
        </w:rPr>
      </w:pPr>
    </w:p>
    <w:p w:rsidR="00AE2625" w:rsidRPr="006E38BE" w:rsidRDefault="00AE2625" w:rsidP="009E7511">
      <w:pPr>
        <w:pStyle w:val="Prrafodelista"/>
        <w:ind w:left="-180"/>
        <w:jc w:val="both"/>
        <w:rPr>
          <w:b/>
          <w:sz w:val="24"/>
          <w:szCs w:val="24"/>
        </w:rPr>
      </w:pPr>
      <w:r w:rsidRPr="006E38BE">
        <w:rPr>
          <w:b/>
          <w:sz w:val="24"/>
          <w:szCs w:val="24"/>
        </w:rPr>
        <w:t>Iberdrola</w:t>
      </w:r>
      <w:r w:rsidRPr="006E38BE">
        <w:rPr>
          <w:sz w:val="24"/>
          <w:szCs w:val="24"/>
        </w:rPr>
        <w:t xml:space="preserve"> es la empresa que proporciona más información sobre las diez áreas de buen gobierno examinadas, seguidas de </w:t>
      </w:r>
      <w:r w:rsidRPr="006E38BE">
        <w:rPr>
          <w:b/>
          <w:sz w:val="24"/>
          <w:szCs w:val="24"/>
        </w:rPr>
        <w:t>Bankinter</w:t>
      </w:r>
      <w:r w:rsidRPr="006E38BE">
        <w:rPr>
          <w:sz w:val="24"/>
          <w:szCs w:val="24"/>
        </w:rPr>
        <w:t xml:space="preserve">, </w:t>
      </w:r>
      <w:r w:rsidRPr="006E38BE">
        <w:rPr>
          <w:b/>
          <w:sz w:val="24"/>
          <w:szCs w:val="24"/>
        </w:rPr>
        <w:t>BME</w:t>
      </w:r>
      <w:r w:rsidRPr="006E38BE">
        <w:rPr>
          <w:sz w:val="24"/>
          <w:szCs w:val="24"/>
        </w:rPr>
        <w:t xml:space="preserve"> y </w:t>
      </w:r>
      <w:r w:rsidRPr="006E38BE">
        <w:rPr>
          <w:b/>
          <w:sz w:val="24"/>
          <w:szCs w:val="24"/>
        </w:rPr>
        <w:t>DIA</w:t>
      </w:r>
      <w:r w:rsidRPr="006E38BE">
        <w:rPr>
          <w:sz w:val="24"/>
          <w:szCs w:val="24"/>
        </w:rPr>
        <w:t xml:space="preserve">. En las últimas posiciones se sitúan </w:t>
      </w:r>
      <w:r w:rsidRPr="006E38BE">
        <w:rPr>
          <w:b/>
          <w:sz w:val="24"/>
          <w:szCs w:val="24"/>
        </w:rPr>
        <w:t>Acerinox</w:t>
      </w:r>
      <w:r w:rsidRPr="006E38BE">
        <w:rPr>
          <w:sz w:val="24"/>
          <w:szCs w:val="24"/>
        </w:rPr>
        <w:t xml:space="preserve">, </w:t>
      </w:r>
      <w:r w:rsidRPr="006E38BE">
        <w:rPr>
          <w:b/>
          <w:sz w:val="24"/>
          <w:szCs w:val="24"/>
        </w:rPr>
        <w:t>ACS</w:t>
      </w:r>
      <w:r w:rsidRPr="006E38BE">
        <w:rPr>
          <w:sz w:val="24"/>
          <w:szCs w:val="24"/>
        </w:rPr>
        <w:t xml:space="preserve">, </w:t>
      </w:r>
      <w:proofErr w:type="spellStart"/>
      <w:r w:rsidRPr="006E38BE">
        <w:rPr>
          <w:b/>
          <w:sz w:val="24"/>
          <w:szCs w:val="24"/>
        </w:rPr>
        <w:t>Grifols</w:t>
      </w:r>
      <w:proofErr w:type="spellEnd"/>
      <w:r w:rsidRPr="006E38BE">
        <w:rPr>
          <w:sz w:val="24"/>
          <w:szCs w:val="24"/>
        </w:rPr>
        <w:t xml:space="preserve"> y </w:t>
      </w:r>
      <w:r w:rsidRPr="006E38BE">
        <w:rPr>
          <w:b/>
          <w:sz w:val="24"/>
          <w:szCs w:val="24"/>
        </w:rPr>
        <w:t xml:space="preserve">Técnicas Reunidas. </w:t>
      </w:r>
    </w:p>
    <w:p w:rsidR="001D6F5B" w:rsidRDefault="001D6F5B" w:rsidP="001D6F5B">
      <w:pPr>
        <w:pStyle w:val="Prrafodelista"/>
        <w:ind w:left="-180"/>
        <w:jc w:val="both"/>
        <w:rPr>
          <w:sz w:val="24"/>
          <w:szCs w:val="24"/>
        </w:rPr>
      </w:pPr>
    </w:p>
    <w:p w:rsidR="001D6F5B" w:rsidRPr="001D6F5B" w:rsidRDefault="006818DD" w:rsidP="001D6F5B">
      <w:pPr>
        <w:pStyle w:val="Prrafodelista"/>
        <w:ind w:left="-180"/>
        <w:jc w:val="both"/>
        <w:rPr>
          <w:sz w:val="24"/>
          <w:szCs w:val="24"/>
        </w:rPr>
      </w:pPr>
      <w:r w:rsidRPr="00B6197A">
        <w:rPr>
          <w:sz w:val="24"/>
          <w:szCs w:val="24"/>
        </w:rPr>
        <w:t xml:space="preserve">Estos son los resultados que desprende el </w:t>
      </w:r>
      <w:r w:rsidR="001D6F5B" w:rsidRPr="00B6197A">
        <w:rPr>
          <w:sz w:val="24"/>
          <w:szCs w:val="24"/>
        </w:rPr>
        <w:t xml:space="preserve">informe </w:t>
      </w:r>
      <w:r w:rsidRPr="00B6197A">
        <w:rPr>
          <w:i/>
          <w:sz w:val="24"/>
          <w:szCs w:val="24"/>
        </w:rPr>
        <w:t xml:space="preserve">Reinventando el Consejo, </w:t>
      </w:r>
      <w:r w:rsidRPr="00B6197A">
        <w:rPr>
          <w:sz w:val="24"/>
          <w:szCs w:val="24"/>
        </w:rPr>
        <w:t xml:space="preserve">que </w:t>
      </w:r>
      <w:r w:rsidR="001D6F5B" w:rsidRPr="00B6197A">
        <w:rPr>
          <w:sz w:val="24"/>
          <w:szCs w:val="24"/>
        </w:rPr>
        <w:t xml:space="preserve">examina la transparencia voluntaria </w:t>
      </w:r>
      <w:r w:rsidRPr="00B6197A">
        <w:rPr>
          <w:sz w:val="24"/>
          <w:szCs w:val="24"/>
        </w:rPr>
        <w:t>definida</w:t>
      </w:r>
      <w:r w:rsidR="001D6F5B" w:rsidRPr="00B6197A">
        <w:rPr>
          <w:sz w:val="24"/>
          <w:szCs w:val="24"/>
        </w:rPr>
        <w:t xml:space="preserve"> como</w:t>
      </w:r>
      <w:r w:rsidR="001D6F5B" w:rsidRPr="001D6F5B">
        <w:rPr>
          <w:sz w:val="24"/>
          <w:szCs w:val="24"/>
        </w:rPr>
        <w:t xml:space="preserve"> </w:t>
      </w:r>
      <w:r w:rsidR="001D6F5B" w:rsidRPr="001D6F5B">
        <w:rPr>
          <w:sz w:val="24"/>
          <w:szCs w:val="24"/>
          <w:lang w:eastAsia="es-ES"/>
        </w:rPr>
        <w:t>“el esfuerzo por publicar y diseminar la información relevante de la organización poniéndola a disposición de los diferentes grupos de interés (</w:t>
      </w:r>
      <w:proofErr w:type="spellStart"/>
      <w:r w:rsidR="001D6F5B" w:rsidRPr="001D6F5B">
        <w:rPr>
          <w:i/>
          <w:sz w:val="24"/>
          <w:szCs w:val="24"/>
          <w:lang w:eastAsia="es-ES"/>
        </w:rPr>
        <w:t>stakeholders</w:t>
      </w:r>
      <w:proofErr w:type="spellEnd"/>
      <w:r w:rsidR="001D6F5B" w:rsidRPr="001D6F5B">
        <w:rPr>
          <w:sz w:val="24"/>
          <w:szCs w:val="24"/>
          <w:lang w:eastAsia="es-ES"/>
        </w:rPr>
        <w:t>) de forma visible, accesible, permanente y actualizada”.</w:t>
      </w:r>
      <w:r w:rsidR="001D6F5B" w:rsidRPr="001D6F5B">
        <w:rPr>
          <w:sz w:val="24"/>
          <w:szCs w:val="24"/>
        </w:rPr>
        <w:t xml:space="preserve"> </w:t>
      </w:r>
    </w:p>
    <w:p w:rsidR="001D6F5B" w:rsidRPr="001D6F5B" w:rsidRDefault="001D6F5B" w:rsidP="001D6F5B">
      <w:pPr>
        <w:pStyle w:val="Prrafodelista"/>
        <w:ind w:left="-180"/>
        <w:jc w:val="both"/>
        <w:rPr>
          <w:sz w:val="24"/>
          <w:szCs w:val="24"/>
        </w:rPr>
      </w:pPr>
    </w:p>
    <w:p w:rsidR="001D6F5B" w:rsidRPr="001D6F5B" w:rsidRDefault="001D6F5B" w:rsidP="001D6F5B">
      <w:pPr>
        <w:pStyle w:val="Prrafodelista"/>
        <w:ind w:left="-180"/>
        <w:jc w:val="both"/>
        <w:rPr>
          <w:sz w:val="24"/>
          <w:szCs w:val="24"/>
        </w:rPr>
      </w:pPr>
      <w:r w:rsidRPr="001D6F5B">
        <w:rPr>
          <w:sz w:val="24"/>
          <w:szCs w:val="24"/>
        </w:rPr>
        <w:t xml:space="preserve">El estudio analiza 26 indicadores divididos en diez áreas: transparencia, independencia, división de poderes, estrategia, selección y evaluación, formación y dedicación, retribución, término y sucesión, diversidad y diálogo. Para elaborarlo se ha revisado la información que se encontraba disponible en la web de las empresas a 31 </w:t>
      </w:r>
      <w:r w:rsidRPr="00B6197A">
        <w:rPr>
          <w:sz w:val="24"/>
          <w:szCs w:val="24"/>
        </w:rPr>
        <w:t xml:space="preserve">de diciembre de </w:t>
      </w:r>
      <w:r w:rsidRPr="001D6F5B">
        <w:rPr>
          <w:sz w:val="24"/>
          <w:szCs w:val="24"/>
        </w:rPr>
        <w:t>2012.</w:t>
      </w:r>
    </w:p>
    <w:p w:rsidR="001D6F5B" w:rsidRPr="006E38BE" w:rsidRDefault="001D6F5B" w:rsidP="009E7511">
      <w:pPr>
        <w:pStyle w:val="Prrafodelista"/>
        <w:ind w:left="-180"/>
        <w:jc w:val="both"/>
        <w:rPr>
          <w:b/>
          <w:sz w:val="24"/>
          <w:szCs w:val="24"/>
        </w:rPr>
      </w:pPr>
    </w:p>
    <w:p w:rsidR="00AE2625" w:rsidRPr="00B6197A" w:rsidRDefault="001D6F5B" w:rsidP="009E7511">
      <w:pPr>
        <w:pStyle w:val="Prrafodelista"/>
        <w:ind w:left="-180"/>
        <w:jc w:val="both"/>
        <w:rPr>
          <w:b/>
          <w:sz w:val="24"/>
          <w:szCs w:val="24"/>
        </w:rPr>
      </w:pPr>
      <w:r w:rsidRPr="00B6197A">
        <w:rPr>
          <w:b/>
          <w:sz w:val="24"/>
          <w:szCs w:val="24"/>
        </w:rPr>
        <w:t>De pura actualidad</w:t>
      </w:r>
    </w:p>
    <w:p w:rsidR="00AE2625" w:rsidRPr="006E38BE" w:rsidRDefault="00AE2625" w:rsidP="009E7511">
      <w:pPr>
        <w:pStyle w:val="Prrafodelista"/>
        <w:ind w:left="-180"/>
        <w:jc w:val="both"/>
        <w:rPr>
          <w:sz w:val="24"/>
          <w:szCs w:val="24"/>
        </w:rPr>
      </w:pPr>
      <w:r w:rsidRPr="006E38BE">
        <w:rPr>
          <w:sz w:val="24"/>
          <w:szCs w:val="24"/>
        </w:rPr>
        <w:t xml:space="preserve">La publicación del informe coincide con la reciente decisión de constituir un grupo de expertos para reformar el actual </w:t>
      </w:r>
      <w:r w:rsidRPr="006E38BE">
        <w:rPr>
          <w:b/>
          <w:sz w:val="24"/>
          <w:szCs w:val="24"/>
        </w:rPr>
        <w:t>Código Unificado</w:t>
      </w:r>
      <w:r w:rsidRPr="006E38BE">
        <w:rPr>
          <w:sz w:val="24"/>
          <w:szCs w:val="24"/>
        </w:rPr>
        <w:t xml:space="preserve"> que se considera insuficiente para dar respuesta a las nuevas demandas de información y exigencias relacionadas con las prácticas de buen gobierno. En este sentido, </w:t>
      </w:r>
      <w:r w:rsidRPr="006E38BE">
        <w:rPr>
          <w:b/>
          <w:sz w:val="24"/>
          <w:szCs w:val="24"/>
        </w:rPr>
        <w:t>Javier Martín Cavanna,</w:t>
      </w:r>
      <w:r w:rsidRPr="006E38BE">
        <w:rPr>
          <w:sz w:val="24"/>
          <w:szCs w:val="24"/>
        </w:rPr>
        <w:t xml:space="preserve"> director de la Fundación Compromiso y Transparencia</w:t>
      </w:r>
      <w:r w:rsidR="00287B05" w:rsidRPr="006E38BE">
        <w:rPr>
          <w:sz w:val="24"/>
          <w:szCs w:val="24"/>
        </w:rPr>
        <w:t xml:space="preserve"> </w:t>
      </w:r>
      <w:r w:rsidR="00287B05" w:rsidRPr="00B6197A">
        <w:rPr>
          <w:sz w:val="24"/>
          <w:szCs w:val="24"/>
        </w:rPr>
        <w:t>y autor del informe</w:t>
      </w:r>
      <w:r w:rsidRPr="00B6197A">
        <w:rPr>
          <w:sz w:val="24"/>
          <w:szCs w:val="24"/>
        </w:rPr>
        <w:t>,</w:t>
      </w:r>
      <w:r w:rsidRPr="006E38BE">
        <w:rPr>
          <w:sz w:val="24"/>
          <w:szCs w:val="24"/>
        </w:rPr>
        <w:t xml:space="preserve"> comenta que “</w:t>
      </w:r>
      <w:r w:rsidR="0075596D" w:rsidRPr="006E38BE">
        <w:rPr>
          <w:sz w:val="24"/>
          <w:szCs w:val="24"/>
        </w:rPr>
        <w:t>e</w:t>
      </w:r>
      <w:r w:rsidRPr="006E38BE">
        <w:rPr>
          <w:sz w:val="24"/>
          <w:szCs w:val="24"/>
        </w:rPr>
        <w:t xml:space="preserve">l actual formato de </w:t>
      </w:r>
      <w:r w:rsidRPr="006E38BE">
        <w:rPr>
          <w:i/>
          <w:sz w:val="24"/>
          <w:szCs w:val="24"/>
        </w:rPr>
        <w:t xml:space="preserve">Informe Anual de Gobierno Corporativo </w:t>
      </w:r>
      <w:r w:rsidRPr="006E38BE">
        <w:rPr>
          <w:sz w:val="24"/>
          <w:szCs w:val="24"/>
        </w:rPr>
        <w:t>es un documento que no responde a las expectativas de información de los diferentes grupos de interés de la empresa, ahora bien, la solución a este problema no pasa exclusivamente por reformar el Código Unificado ampliando sus contenidos, si previamente no se abordan ot</w:t>
      </w:r>
      <w:r w:rsidR="006E37C6">
        <w:rPr>
          <w:sz w:val="24"/>
          <w:szCs w:val="24"/>
        </w:rPr>
        <w:t>ras cuestiones relacionadas con</w:t>
      </w:r>
      <w:r w:rsidR="006E37C6" w:rsidRPr="006E37C6">
        <w:rPr>
          <w:sz w:val="24"/>
          <w:szCs w:val="24"/>
        </w:rPr>
        <w:t xml:space="preserve"> la mejora del dialogo con los grupos de interés</w:t>
      </w:r>
      <w:r w:rsidRPr="006E38BE">
        <w:rPr>
          <w:sz w:val="24"/>
          <w:szCs w:val="24"/>
        </w:rPr>
        <w:t xml:space="preserve">”.  </w:t>
      </w:r>
    </w:p>
    <w:p w:rsidR="00AE2625" w:rsidRPr="006E38BE" w:rsidRDefault="00AE2625" w:rsidP="009E7511">
      <w:pPr>
        <w:pStyle w:val="Prrafodelista"/>
        <w:ind w:left="-180"/>
        <w:jc w:val="both"/>
        <w:rPr>
          <w:sz w:val="24"/>
          <w:szCs w:val="24"/>
        </w:rPr>
      </w:pPr>
    </w:p>
    <w:p w:rsidR="00287B05" w:rsidRPr="006E38BE" w:rsidRDefault="00AE2625" w:rsidP="00287B05">
      <w:pPr>
        <w:pStyle w:val="Prrafodelista"/>
        <w:ind w:left="-180"/>
        <w:jc w:val="both"/>
        <w:rPr>
          <w:sz w:val="24"/>
          <w:szCs w:val="24"/>
        </w:rPr>
      </w:pPr>
      <w:r w:rsidRPr="006E38BE">
        <w:rPr>
          <w:sz w:val="24"/>
          <w:szCs w:val="24"/>
        </w:rPr>
        <w:t>Frente a la crítica de algunos presidentes de las empresas del IBEX 35 que se han manifestado en contra de la oportunidad de reformar el Código Unificado, Martín Cavanna declara que: “</w:t>
      </w:r>
      <w:r w:rsidR="0075596D" w:rsidRPr="00B6197A">
        <w:rPr>
          <w:sz w:val="24"/>
          <w:szCs w:val="24"/>
        </w:rPr>
        <w:t>E</w:t>
      </w:r>
      <w:r w:rsidRPr="006E38BE">
        <w:rPr>
          <w:sz w:val="24"/>
          <w:szCs w:val="24"/>
        </w:rPr>
        <w:t>s cierto que el sistema de gobierno por naturaleza tiende a ser algo estable y, también, que las reglas de gobierno no pueden estar sometidas a una constante revisión, pero entre la necesaria estabilidad y la actual pasividad de los consejos de administración media un campo muy grande”.</w:t>
      </w:r>
    </w:p>
    <w:p w:rsidR="00287B05" w:rsidRPr="006E38BE" w:rsidRDefault="00287B05" w:rsidP="00287B05">
      <w:pPr>
        <w:pStyle w:val="Prrafodelista"/>
        <w:ind w:left="-180"/>
        <w:jc w:val="both"/>
        <w:rPr>
          <w:sz w:val="24"/>
          <w:szCs w:val="24"/>
        </w:rPr>
      </w:pPr>
    </w:p>
    <w:p w:rsidR="00287B05" w:rsidRPr="00A3002E" w:rsidRDefault="00287B05" w:rsidP="00287B05">
      <w:pPr>
        <w:jc w:val="both"/>
        <w:rPr>
          <w:b/>
          <w:color w:val="595959"/>
          <w:sz w:val="18"/>
          <w:u w:val="single"/>
        </w:rPr>
      </w:pPr>
      <w:r w:rsidRPr="00A3002E">
        <w:rPr>
          <w:b/>
          <w:color w:val="595959"/>
          <w:sz w:val="18"/>
          <w:u w:val="single"/>
        </w:rPr>
        <w:t>Acerca de Fundación Compromiso y Transparencia</w:t>
      </w:r>
    </w:p>
    <w:p w:rsidR="00287B05" w:rsidRPr="00A3002E" w:rsidRDefault="00287B05" w:rsidP="00287B05">
      <w:pPr>
        <w:jc w:val="both"/>
        <w:rPr>
          <w:b/>
          <w:color w:val="595959"/>
          <w:sz w:val="18"/>
          <w:u w:val="single"/>
        </w:rPr>
      </w:pPr>
      <w:r w:rsidRPr="00A3002E">
        <w:rPr>
          <w:color w:val="595959"/>
          <w:sz w:val="18"/>
        </w:rPr>
        <w:t xml:space="preserve">La Fundación Compromiso </w:t>
      </w:r>
      <w:r>
        <w:rPr>
          <w:color w:val="595959"/>
          <w:sz w:val="18"/>
        </w:rPr>
        <w:t>y Transparencia</w:t>
      </w:r>
      <w:r w:rsidRPr="00A3002E">
        <w:rPr>
          <w:color w:val="595959"/>
          <w:sz w:val="18"/>
        </w:rPr>
        <w:t xml:space="preserve"> se constituyó en el año 2007 por un grupo de profesionales procedentes del mundo de la empresa, de la academia y del sector no lucrativo con la finalidad de f</w:t>
      </w:r>
      <w:r w:rsidRPr="00A3002E">
        <w:rPr>
          <w:iCs/>
          <w:color w:val="595959"/>
          <w:sz w:val="18"/>
        </w:rPr>
        <w:t xml:space="preserve">ortalecer la confianza de la </w:t>
      </w:r>
      <w:r w:rsidRPr="00A3002E">
        <w:rPr>
          <w:iCs/>
          <w:color w:val="595959"/>
          <w:sz w:val="18"/>
        </w:rPr>
        <w:lastRenderedPageBreak/>
        <w:t>sociedad en las instituciones impulsando el buen gobierno, la transparencia y la rendición de cuentas de sus actividades</w:t>
      </w:r>
      <w:r w:rsidRPr="00A3002E">
        <w:rPr>
          <w:color w:val="595959"/>
          <w:sz w:val="18"/>
        </w:rPr>
        <w:t xml:space="preserve">. Página web </w:t>
      </w:r>
      <w:hyperlink r:id="rId11" w:history="1">
        <w:r w:rsidRPr="00A3002E">
          <w:rPr>
            <w:rStyle w:val="Hipervnculo"/>
            <w:sz w:val="18"/>
          </w:rPr>
          <w:t>www.compromisoytransparencia.com</w:t>
        </w:r>
      </w:hyperlink>
      <w:r w:rsidRPr="00A3002E">
        <w:rPr>
          <w:color w:val="595959"/>
          <w:sz w:val="18"/>
        </w:rPr>
        <w:t xml:space="preserve"> </w:t>
      </w:r>
    </w:p>
    <w:p w:rsidR="00287B05" w:rsidRDefault="00287B05" w:rsidP="00287B05">
      <w:pPr>
        <w:pStyle w:val="Prrafodelista"/>
        <w:rPr>
          <w:b/>
          <w:color w:val="595959"/>
          <w:sz w:val="18"/>
          <w:u w:val="single"/>
        </w:rPr>
      </w:pPr>
    </w:p>
    <w:p w:rsidR="00287B05" w:rsidRPr="00A3002E" w:rsidRDefault="00287B05" w:rsidP="00287B05">
      <w:pPr>
        <w:rPr>
          <w:b/>
          <w:color w:val="595959"/>
          <w:sz w:val="18"/>
          <w:u w:val="single"/>
        </w:rPr>
      </w:pPr>
      <w:r w:rsidRPr="00A3002E">
        <w:rPr>
          <w:b/>
          <w:color w:val="595959"/>
          <w:sz w:val="18"/>
          <w:u w:val="single"/>
        </w:rPr>
        <w:t>Más información</w:t>
      </w:r>
      <w:r>
        <w:rPr>
          <w:b/>
          <w:color w:val="595959"/>
          <w:sz w:val="18"/>
          <w:u w:val="single"/>
        </w:rPr>
        <w:br/>
      </w:r>
      <w:r w:rsidRPr="00A3002E">
        <w:rPr>
          <w:color w:val="595959"/>
          <w:sz w:val="18"/>
        </w:rPr>
        <w:t>Esther Barrio</w:t>
      </w:r>
      <w:r w:rsidRPr="00A3002E">
        <w:rPr>
          <w:color w:val="595959"/>
          <w:sz w:val="18"/>
        </w:rPr>
        <w:br/>
      </w:r>
      <w:hyperlink r:id="rId12" w:history="1">
        <w:r w:rsidRPr="00A3002E">
          <w:rPr>
            <w:rStyle w:val="Hipervnculo"/>
            <w:color w:val="595959"/>
            <w:sz w:val="18"/>
          </w:rPr>
          <w:t>compromisoempresarial@compromisoempresarial.com</w:t>
        </w:r>
      </w:hyperlink>
      <w:r w:rsidRPr="00A3002E">
        <w:rPr>
          <w:color w:val="595959"/>
          <w:sz w:val="18"/>
        </w:rPr>
        <w:br/>
      </w:r>
      <w:hyperlink r:id="rId13" w:history="1">
        <w:r w:rsidRPr="00A3002E">
          <w:rPr>
            <w:rStyle w:val="Hipervnculo"/>
            <w:color w:val="595959"/>
            <w:sz w:val="18"/>
          </w:rPr>
          <w:t>ebarrio@compromisoempresarial.com</w:t>
        </w:r>
      </w:hyperlink>
      <w:r w:rsidRPr="00A3002E">
        <w:rPr>
          <w:color w:val="595959"/>
          <w:sz w:val="18"/>
        </w:rPr>
        <w:br/>
        <w:t>Teléfono: 650 38 23 35</w:t>
      </w:r>
    </w:p>
    <w:p w:rsidR="00287B05" w:rsidRPr="006E38BE" w:rsidRDefault="00287B05" w:rsidP="009E7511">
      <w:pPr>
        <w:pStyle w:val="Prrafodelista"/>
        <w:ind w:left="-180"/>
        <w:jc w:val="both"/>
        <w:rPr>
          <w:b/>
          <w:sz w:val="24"/>
          <w:szCs w:val="24"/>
        </w:rPr>
      </w:pPr>
    </w:p>
    <w:sectPr w:rsidR="00287B05" w:rsidRPr="006E38BE" w:rsidSect="001C6F60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81" w:rsidRDefault="00370A81" w:rsidP="0075596D">
      <w:pPr>
        <w:spacing w:after="0" w:line="240" w:lineRule="auto"/>
      </w:pPr>
      <w:r>
        <w:separator/>
      </w:r>
    </w:p>
  </w:endnote>
  <w:endnote w:type="continuationSeparator" w:id="0">
    <w:p w:rsidR="00370A81" w:rsidRDefault="00370A81" w:rsidP="0075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81" w:rsidRDefault="00370A81" w:rsidP="0075596D">
      <w:pPr>
        <w:spacing w:after="0" w:line="240" w:lineRule="auto"/>
      </w:pPr>
      <w:r>
        <w:separator/>
      </w:r>
    </w:p>
  </w:footnote>
  <w:footnote w:type="continuationSeparator" w:id="0">
    <w:p w:rsidR="00370A81" w:rsidRDefault="00370A81" w:rsidP="0075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6D" w:rsidRDefault="00370A81" w:rsidP="0075596D">
    <w:pPr>
      <w:pStyle w:val="Encabezado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263pt;margin-top:-24.8pt;width:161.75pt;height:45.9p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>
          <v:imagedata r:id="rId1" o:title="LogoCyT" cropbottom="15732f"/>
          <w10:wrap type="square"/>
        </v:shape>
      </w:pict>
    </w:r>
    <w:r w:rsidR="0075596D" w:rsidRPr="00563FAA">
      <w:rPr>
        <w:b/>
      </w:rPr>
      <w:t>NOTA DE PRENSA</w:t>
    </w:r>
  </w:p>
  <w:p w:rsidR="0075596D" w:rsidRDefault="00755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15425"/>
    <w:multiLevelType w:val="hybridMultilevel"/>
    <w:tmpl w:val="9496C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3F4"/>
    <w:rsid w:val="0000654B"/>
    <w:rsid w:val="001C6F60"/>
    <w:rsid w:val="001D6F5B"/>
    <w:rsid w:val="0022378F"/>
    <w:rsid w:val="00287B05"/>
    <w:rsid w:val="002D030E"/>
    <w:rsid w:val="00370A81"/>
    <w:rsid w:val="004E1461"/>
    <w:rsid w:val="005B330E"/>
    <w:rsid w:val="00605305"/>
    <w:rsid w:val="006818DD"/>
    <w:rsid w:val="006877FB"/>
    <w:rsid w:val="006E37C6"/>
    <w:rsid w:val="006E38BE"/>
    <w:rsid w:val="0075596D"/>
    <w:rsid w:val="00845A77"/>
    <w:rsid w:val="008F3274"/>
    <w:rsid w:val="009568EE"/>
    <w:rsid w:val="009E7511"/>
    <w:rsid w:val="00A1660E"/>
    <w:rsid w:val="00A3714B"/>
    <w:rsid w:val="00AB43F4"/>
    <w:rsid w:val="00AE2625"/>
    <w:rsid w:val="00B03F20"/>
    <w:rsid w:val="00B6197A"/>
    <w:rsid w:val="00B73351"/>
    <w:rsid w:val="00C35723"/>
    <w:rsid w:val="00D07041"/>
    <w:rsid w:val="00D54D94"/>
    <w:rsid w:val="00DB3F6B"/>
    <w:rsid w:val="00E14C91"/>
    <w:rsid w:val="00EF758F"/>
    <w:rsid w:val="00F8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0365EC7-AABC-4753-958E-7E64286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6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3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9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5596D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559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5596D"/>
    <w:rPr>
      <w:lang w:eastAsia="en-US"/>
    </w:rPr>
  </w:style>
  <w:style w:type="character" w:styleId="Hipervnculo">
    <w:name w:val="Hyperlink"/>
    <w:uiPriority w:val="99"/>
    <w:unhideWhenUsed/>
    <w:rsid w:val="00287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omisoempresarial.com/wp-content/uploads/InformeConsejosAdministracion.pdf" TargetMode="External"/><Relationship Id="rId13" Type="http://schemas.openxmlformats.org/officeDocument/2006/relationships/hyperlink" Target="mailto:ebarrio@compromisoempresar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omisoytransparencia.com/" TargetMode="External"/><Relationship Id="rId12" Type="http://schemas.openxmlformats.org/officeDocument/2006/relationships/hyperlink" Target="mailto:compromisoempresarial@compromisoempresaria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omisoytransparenci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mpromisoempresari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omisoytransparencia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Esther Barrio</cp:lastModifiedBy>
  <cp:revision>10</cp:revision>
  <dcterms:created xsi:type="dcterms:W3CDTF">2013-06-10T10:52:00Z</dcterms:created>
  <dcterms:modified xsi:type="dcterms:W3CDTF">2013-06-12T08:39:00Z</dcterms:modified>
</cp:coreProperties>
</file>